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390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6374115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6491FC37"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6CAFE7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13.05.2026</w:t>
            </w:r>
          </w:p>
        </w:tc>
      </w:tr>
      <w:tr w:rsidR="00000000" w14:paraId="5900D1E3"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4F85BF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особою електронного документа)</w:t>
            </w:r>
          </w:p>
        </w:tc>
      </w:tr>
      <w:tr w:rsidR="00000000" w14:paraId="5A5D8882"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F80C6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13/05-23</w:t>
            </w:r>
          </w:p>
        </w:tc>
      </w:tr>
      <w:tr w:rsidR="00000000" w14:paraId="3C85F85D" w14:textId="77777777">
        <w:tblPrEx>
          <w:tblCellMar>
            <w:top w:w="0" w:type="dxa"/>
            <w:bottom w:w="0" w:type="dxa"/>
          </w:tblCellMar>
        </w:tblPrEx>
        <w:trPr>
          <w:trHeight w:val="300"/>
        </w:trPr>
        <w:tc>
          <w:tcPr>
            <w:tcW w:w="5230" w:type="dxa"/>
            <w:tcBorders>
              <w:top w:val="nil"/>
              <w:left w:val="nil"/>
              <w:bottom w:val="nil"/>
              <w:right w:val="nil"/>
            </w:tcBorders>
            <w:vAlign w:val="bottom"/>
          </w:tcPr>
          <w:p w14:paraId="514AC57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7A95DFF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3968B9E8"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2BE4BA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01B0BF4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74116BCA"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74A6603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Голова комiсiї з припинення ПрАТ "Монделiс Україна"</w:t>
            </w:r>
          </w:p>
        </w:tc>
        <w:tc>
          <w:tcPr>
            <w:tcW w:w="216" w:type="dxa"/>
            <w:tcBorders>
              <w:top w:val="nil"/>
              <w:left w:val="nil"/>
              <w:bottom w:val="nil"/>
              <w:right w:val="nil"/>
            </w:tcBorders>
          </w:tcPr>
          <w:p w14:paraId="2DC596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101FA48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28F88B6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620850D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Самусенко А.В.</w:t>
            </w:r>
          </w:p>
        </w:tc>
      </w:tr>
      <w:tr w:rsidR="00000000" w14:paraId="747B18C2" w14:textId="77777777">
        <w:tblPrEx>
          <w:tblCellMar>
            <w:top w:w="0" w:type="dxa"/>
            <w:bottom w:w="0" w:type="dxa"/>
          </w:tblCellMar>
        </w:tblPrEx>
        <w:trPr>
          <w:trHeight w:val="200"/>
        </w:trPr>
        <w:tc>
          <w:tcPr>
            <w:tcW w:w="3415" w:type="dxa"/>
            <w:tcBorders>
              <w:top w:val="nil"/>
              <w:left w:val="nil"/>
              <w:bottom w:val="nil"/>
              <w:right w:val="nil"/>
            </w:tcBorders>
          </w:tcPr>
          <w:p w14:paraId="5B612C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3A0751C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45D8384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(місце для накладання електронного підпису уповноваженої особи емітента/особи, </w:t>
            </w:r>
            <w:r>
              <w:rPr>
                <w:rFonts w:ascii="Times New Roman CYR" w:hAnsi="Times New Roman CYR" w:cs="Times New Roman CYR"/>
                <w:kern w:val="0"/>
                <w:sz w:val="20"/>
                <w:szCs w:val="20"/>
              </w:rPr>
              <w:t>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2F3A32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27C610B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w:t>
            </w:r>
          </w:p>
        </w:tc>
      </w:tr>
    </w:tbl>
    <w:p w14:paraId="3171CF1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p w14:paraId="7622DF6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32E14C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ПРИВАТНЕ АКЦIОНЕРНЕ ТОВАРИСТВО "МОНДЕЛIС УКРАЇНА" (00382220)</w:t>
      </w:r>
    </w:p>
    <w:p w14:paraId="084B70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2023 рік</w:t>
      </w:r>
    </w:p>
    <w:p w14:paraId="5136CBA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p>
    <w:p w14:paraId="3E304E1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22.04.2026, РIШЕННЯ  №55 ЄДИНОГО АКЦIОНЕРА, ЩО ОДНООСОБОВО ВОЛОДIЄ 100% АКЦIЙ ЕМIТЕНТА</w:t>
      </w:r>
    </w:p>
    <w:p w14:paraId="5E30A29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0AD9893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5670E19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438B079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28494A20"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7AF0C5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217A23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https://www.mondelezinternational.com/ukraine/corporate-information/mdlz-auditors-and-accounting-documents/</w:t>
            </w:r>
          </w:p>
        </w:tc>
        <w:tc>
          <w:tcPr>
            <w:tcW w:w="1885" w:type="dxa"/>
            <w:tcBorders>
              <w:top w:val="nil"/>
              <w:left w:val="nil"/>
              <w:bottom w:val="single" w:sz="6" w:space="0" w:color="auto"/>
              <w:right w:val="nil"/>
            </w:tcBorders>
            <w:vAlign w:val="bottom"/>
          </w:tcPr>
          <w:p w14:paraId="65BD3F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13.05.2026</w:t>
            </w:r>
          </w:p>
        </w:tc>
      </w:tr>
      <w:tr w:rsidR="00000000" w14:paraId="3180B151" w14:textId="77777777">
        <w:tblPrEx>
          <w:tblCellMar>
            <w:top w:w="0" w:type="dxa"/>
            <w:bottom w:w="0" w:type="dxa"/>
          </w:tblCellMar>
        </w:tblPrEx>
        <w:trPr>
          <w:trHeight w:val="300"/>
        </w:trPr>
        <w:tc>
          <w:tcPr>
            <w:tcW w:w="3415" w:type="dxa"/>
            <w:vMerge/>
            <w:tcBorders>
              <w:top w:val="nil"/>
              <w:left w:val="nil"/>
              <w:bottom w:val="nil"/>
              <w:right w:val="nil"/>
            </w:tcBorders>
          </w:tcPr>
          <w:p w14:paraId="1EAD72D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7F1C357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783C045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311F2D3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2240" w:h="15840"/>
          <w:pgMar w:top="570" w:right="720" w:bottom="570" w:left="720" w:header="708" w:footer="708" w:gutter="0"/>
          <w:cols w:space="720"/>
          <w:noEndnote/>
        </w:sectPr>
      </w:pPr>
    </w:p>
    <w:p w14:paraId="1415968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1B3D92B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Склад рiчної регулярної iнформацiї Емiтента за 2023 рiк не мiстить наступних форм:</w:t>
      </w:r>
    </w:p>
    <w:p w14:paraId="2431404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07AE10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щодо усiх випускiв цiнних паперiв, за якими надається забезпечення вiдсутня.</w:t>
      </w:r>
    </w:p>
    <w:p w14:paraId="55183E4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E194CF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щодо всiх осiб, якi на дають забезпечення за зобов'язаннями емiтента вiдсутня.</w:t>
      </w:r>
    </w:p>
    <w:p w14:paraId="4BAA2AD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A398FA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рейтингове агентство вiдсутня.</w:t>
      </w:r>
    </w:p>
    <w:p w14:paraId="6D480F6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084665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щодо корпоративного секретаря - в Емiтента вiдсутня посада корпоративного секретаря.</w:t>
      </w:r>
    </w:p>
    <w:p w14:paraId="72571C2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2DFEA6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щодо володiння посадовими особами акцiями особи - посадовi особи не володiють акцiями Емiтента.</w:t>
      </w:r>
    </w:p>
    <w:p w14:paraId="332F1A9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11C427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Органiзацiйна структура розкрита у Звiтi про управлiння.</w:t>
      </w:r>
    </w:p>
    <w:p w14:paraId="242F864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E3E6B7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Змiна акцiонерiв протягом звiтного перiоду не вiдбувалась.</w:t>
      </w:r>
    </w:p>
    <w:p w14:paraId="4BACA33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8FF6F8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облiгацiї: Емiтент не здiйснював випуск облiгацiй.</w:t>
      </w:r>
    </w:p>
    <w:p w14:paraId="3A660DA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827367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w:t>
      </w:r>
      <w:r>
        <w:rPr>
          <w:rFonts w:ascii="Times New Roman CYR" w:hAnsi="Times New Roman CYR" w:cs="Times New Roman CYR"/>
          <w:kern w:val="0"/>
        </w:rPr>
        <w:t>мацiя про iншi цiннi папери: Емiтент не здiйснював випуск iнших цiнних паперiв.</w:t>
      </w:r>
    </w:p>
    <w:p w14:paraId="1361F2F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FB29EF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деривативнi цiннi папери: Емiтент не здiйснював випуск похiдних цiнних паперiв.</w:t>
      </w:r>
    </w:p>
    <w:p w14:paraId="728903C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D63D7C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забезпечення випуску боргових цiнних паперiв: Емiтент не випускав боргових цiнних паперiв.</w:t>
      </w:r>
    </w:p>
    <w:p w14:paraId="4A5963A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24FE0C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Звiт про стан об'єкта нерухомостi: Емiтент не здiйснював емiсiї цiльових корпоративних облiгацiй.</w:t>
      </w:r>
    </w:p>
    <w:p w14:paraId="2D6EB1C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AA6A1F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придбання власних акцiй протягом звiтного перiоду не здiйснювалось.</w:t>
      </w:r>
    </w:p>
    <w:p w14:paraId="35A1556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95733B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наявнiсть у власностi працiвникiв особи цiнних паперiв (крiм акцiй) такої особи, Iнформацiя про наявнiсть у власностi працiвникiв особи акцiй у розмiрi понад 0,1 % розмiру статутного капiталу: у працiвникiв вiдсутнi цiннi папери Емiтента.</w:t>
      </w:r>
    </w:p>
    <w:p w14:paraId="71684D7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96FF75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Рiчна фiнансова звiтнiсть розмiщено на сайтi за посиланням: https://www.mondelezinternational.com/ukraine/corporate-information/mdlz-auditors-and-accounting-documents/, а також розкривається у вiдповiдностi до вимог пункту 25 пiдроздiлу 1 роздiлу II.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  06 червня 2023 року № 608 так як Емiтент складає фiнансову звiтнiсть на основi таксономiї фiнансово</w:t>
      </w:r>
      <w:r>
        <w:rPr>
          <w:rFonts w:ascii="Times New Roman CYR" w:hAnsi="Times New Roman CYR" w:cs="Times New Roman CYR"/>
          <w:kern w:val="0"/>
        </w:rPr>
        <w:t xml:space="preserve">ї звiтностi за мiжнародними стандартами фiнансової звiтностi в єдиному електронному форматi (формат XBRL), та подає її до Центру збору фiнансової звiтностi Посилання на "Портал СФЗ для суб'єктiв звiтування" де розмiщено фiнансову звiтнiсть Емiтента в єдиному електронному форматi XBRL : https://portal.frs.gov.ua/PublicData/PublicDataSearch.aspx </w:t>
      </w:r>
    </w:p>
    <w:p w14:paraId="676F9D4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FF208E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Аудиторський звiт до рiчної фiнансової звiтностi: розмiщено на сайтi за посиланням: https://www.mondelezinternational.com/ukraine/corporate-information/mdlz-auditors-and-accounting-documents/, а також iнформацiя розкривається у вiдповiдностi до вимог пункту 25 пiдроздiлу 1 роздiлу II.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  06 червня 2023 року № 608 так як Емiтент складає фiнансову звiтн</w:t>
      </w:r>
      <w:r>
        <w:rPr>
          <w:rFonts w:ascii="Times New Roman CYR" w:hAnsi="Times New Roman CYR" w:cs="Times New Roman CYR"/>
          <w:kern w:val="0"/>
        </w:rPr>
        <w:t xml:space="preserve">iсть на основi таксономiї фiнансової звiтностi за мiжнародними стандартами фiнансової звiтностi в єдиному електронному форматi (формат XBRL), та </w:t>
      </w:r>
      <w:r>
        <w:rPr>
          <w:rFonts w:ascii="Times New Roman CYR" w:hAnsi="Times New Roman CYR" w:cs="Times New Roman CYR"/>
          <w:kern w:val="0"/>
        </w:rPr>
        <w:lastRenderedPageBreak/>
        <w:t xml:space="preserve">подає її до Центру збору фiнансової звiтностi Посилання на "Портал СФЗ для суб'єктiв звiтування" де розмiщено фiнансову звiтнiсть Емiтента в єдиному електронному форматi XBRL : https://portal.frs.gov.ua/PublicData/PublicDataSearch.aspx </w:t>
      </w:r>
    </w:p>
    <w:p w14:paraId="434D85A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00C2BF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Твердження щодо рiчної iнформацiї: iнформацiя розкривається у вiдповiдностi до вимог пункту 25 пiдроздiлу 1 роздiлу II.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  06 червня 2023 року № 608 так як Емiтент складає фiнансову звiтнiсть на основi таксономiї фiнансової звiтностi за мiжнародними стандартами фiнансової звiтностi в єдиному електронному форматi (формат XBRL), та подає її до Центру зб</w:t>
      </w:r>
      <w:r>
        <w:rPr>
          <w:rFonts w:ascii="Times New Roman CYR" w:hAnsi="Times New Roman CYR" w:cs="Times New Roman CYR"/>
          <w:kern w:val="0"/>
        </w:rPr>
        <w:t>ору фiнансової звiтностi Посилання на "Портал СФЗ для суб'єктiв звiтування" де розмiщено фiнансову звiтнiсть Емiтента в єдиному електронному форматi XBRL : https://portal.frs.gov.ua/PublicData/PublicDataSearch.aspx .</w:t>
      </w:r>
    </w:p>
    <w:p w14:paraId="3DFE3D6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D8565A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прийняття рiшення про попереднє надання згоди на вчинення значних правочинiв: рiшення не приймались у звiтному перiодi.</w:t>
      </w:r>
    </w:p>
    <w:p w14:paraId="61990F4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7EC1AA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вчинення правочинiв, щодо вчинення яких є заiнтересованiсть: вiдсутня у звiтному перiодi.</w:t>
      </w:r>
    </w:p>
    <w:p w14:paraId="47C7DFF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9E822B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Звiт про платежi на користь держави: вiдповiдно до законодавства Емiтентом не подається.</w:t>
      </w:r>
    </w:p>
    <w:p w14:paraId="3989408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17CE6F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Звiт керiвництва (звiт про управлiння): розмiщено на сайтi за посиланням: https://www.mondelezinternational.com/ukraine/corporate-information/mdlz-auditors-and-accounting-documents/, а також iнформацiя розкривається у вiдповiдностi до вимог пункту 25 пiдроздiлу 1 роздiлу II.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  06 червня 2023 року № 608 так як Емiтент складає фiнансову звiтнiсть на ос</w:t>
      </w:r>
      <w:r>
        <w:rPr>
          <w:rFonts w:ascii="Times New Roman CYR" w:hAnsi="Times New Roman CYR" w:cs="Times New Roman CYR"/>
          <w:kern w:val="0"/>
        </w:rPr>
        <w:t xml:space="preserve">новi таксономiї фiнансової звiтностi за мiжнародними стандартами фiнансової звiтностi в єдиному електронному форматi (формат XBRL), та подає її до Центру збору фiнансової звiтностi Посилання на "Портал СФЗ для суб'єктiв звiтування" де розмiщено фiнансову звiтнiсть Емiтента в єдиному електронному форматi XBRL : https://portal.frs.gov.ua/PublicData/PublicDataSearch.aspx </w:t>
      </w:r>
    </w:p>
    <w:p w14:paraId="0FB5517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A043EB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корпоративнi та iншi договори, укладенi акцiонерами (учасниками) особи, яка наявна в особи: вiдсутня.</w:t>
      </w:r>
    </w:p>
    <w:p w14:paraId="4FE6DA8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65B5E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Дивiдендна полiтика: Вiдсутнiй затверджений внутрiшнiй документ, який визначає дивiдендну полiтику.</w:t>
      </w:r>
    </w:p>
    <w:p w14:paraId="5A541A7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788CFB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Список посилань на регульовану iнформацiю, яка була розкрита протягом звiтного року: iнформацiя не розкривалась вiдповiдно до рiшення Нацiональної комiсiї з цiнних паперiв та фондового ринку вiд 12 вересня 2022 року № 1159 "Щодо розкриття регульованої iнформацiї емiтентами цiнних паперiв пiд час дiї воєнного стану в Українi" (зi змiнами).</w:t>
      </w:r>
    </w:p>
    <w:p w14:paraId="0695F3C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1B4FD2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пов'язана з емiсiєю окремих видiв цiнних паперiв: Емiтент не здiйснював випуск  iпотечних облiгацiй та сертифiкатiв ФОН.</w:t>
      </w:r>
    </w:p>
    <w:p w14:paraId="5760399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18E958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Зміст</w:t>
      </w:r>
    </w:p>
    <w:p w14:paraId="760B019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 річного звіту</w:t>
      </w:r>
    </w:p>
    <w:p w14:paraId="1F488B0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 Загальна інформація</w:t>
      </w:r>
    </w:p>
    <w:p w14:paraId="3D0AFDA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Ідентифікаційні дані та загальна інформація</w:t>
      </w:r>
    </w:p>
    <w:p w14:paraId="69B12B7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Органи управління та посадові особи. Організаційна структура</w:t>
      </w:r>
    </w:p>
    <w:p w14:paraId="4CDE02A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Структура власності</w:t>
      </w:r>
    </w:p>
    <w:p w14:paraId="7C18628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Опис господарської та фінансової діяльності</w:t>
      </w:r>
    </w:p>
    <w:p w14:paraId="4E88FF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5. Участь в інших особах</w:t>
      </w:r>
    </w:p>
    <w:p w14:paraId="78BEDAB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 Відокремлені підрозділи</w:t>
      </w:r>
    </w:p>
    <w:p w14:paraId="4CD8A88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 Інформація щодо капіталу та цінних паперів</w:t>
      </w:r>
    </w:p>
    <w:p w14:paraId="2EC6BA3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Структура капіталу</w:t>
      </w:r>
    </w:p>
    <w:p w14:paraId="18E34C3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Цінні папери</w:t>
      </w:r>
    </w:p>
    <w:p w14:paraId="62EEB6B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III. Фінансова інформація</w:t>
      </w:r>
    </w:p>
    <w:p w14:paraId="7AE445D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Річна фінансова звітність</w:t>
      </w:r>
    </w:p>
    <w:p w14:paraId="2257841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Значні правочини та правочини із заінтересованістю</w:t>
      </w:r>
    </w:p>
    <w:p w14:paraId="127381D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IV. Нефінансова інформація</w:t>
      </w:r>
    </w:p>
    <w:p w14:paraId="74489E8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Дивіденди</w:t>
      </w:r>
    </w:p>
    <w:p w14:paraId="20F7365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Перелік посилань на внутрішні документи особи, що розміщені на вебсайті особи</w:t>
      </w:r>
    </w:p>
    <w:p w14:paraId="46ECFE4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0CE3ACA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1562773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 Загальна інформація</w:t>
      </w:r>
    </w:p>
    <w:p w14:paraId="7D84C4A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0C92BD8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9786F8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4C5AEDC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575FAD9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ПРИВАТНЕ АКЦIОНЕРНЕ ТОВАРИСТВО "МОНДЕЛIС УКРАЇНА"</w:t>
            </w:r>
          </w:p>
        </w:tc>
      </w:tr>
      <w:tr w:rsidR="00000000" w14:paraId="4775316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47E28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26E4C0B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30C317C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ПрАТ "МОНДЕЛIС УКРАЇНА"</w:t>
            </w:r>
          </w:p>
        </w:tc>
      </w:tr>
      <w:tr w:rsidR="00000000" w14:paraId="5D67B73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5F5D2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728CEF4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3C526A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00382220</w:t>
            </w:r>
          </w:p>
        </w:tc>
      </w:tr>
      <w:tr w:rsidR="00000000" w14:paraId="50EBB70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EEDADA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2F2C8BC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5AFA571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29.08.2001</w:t>
            </w:r>
          </w:p>
        </w:tc>
      </w:tr>
      <w:tr w:rsidR="00000000" w14:paraId="2439F9F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DD8ED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062F057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54F05D5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42600, Україна, Сумська обл., Охтирський р-н, р-н, м.Тростянець, вул. Набережна, 28А</w:t>
            </w:r>
          </w:p>
        </w:tc>
      </w:tr>
      <w:tr w:rsidR="00000000" w14:paraId="2B52B0A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F387D3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1529393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6984EBB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м.Київ, вул. Князiв Острозьких, 32/2</w:t>
            </w:r>
          </w:p>
        </w:tc>
      </w:tr>
      <w:tr w:rsidR="00000000" w14:paraId="36B4E86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E50D2B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1DB05F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1242A02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Емітент</w:t>
            </w:r>
          </w:p>
          <w:p w14:paraId="210778E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Особа, яка надає забезпечення</w:t>
            </w:r>
          </w:p>
        </w:tc>
      </w:tr>
      <w:tr w:rsidR="00000000" w14:paraId="58ACC27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54414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2FE4993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6FD61B1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Так</w:t>
            </w:r>
          </w:p>
          <w:p w14:paraId="03D9E1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Ні</w:t>
            </w:r>
          </w:p>
        </w:tc>
      </w:tr>
      <w:tr w:rsidR="00000000" w14:paraId="6DCF62D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6AE313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13A2015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491A26A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Велике</w:t>
            </w:r>
          </w:p>
          <w:p w14:paraId="0B4A539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Середнє</w:t>
            </w:r>
          </w:p>
          <w:p w14:paraId="3D7505F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Мале</w:t>
            </w:r>
          </w:p>
          <w:p w14:paraId="4D73C81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Мікро</w:t>
            </w:r>
          </w:p>
        </w:tc>
      </w:tr>
      <w:tr w:rsidR="00000000" w14:paraId="6347857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80F6EB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1317BE6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10F006F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asamusenko@mdlz.com</w:t>
            </w:r>
          </w:p>
        </w:tc>
      </w:tr>
      <w:tr w:rsidR="00000000" w14:paraId="3D6B986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9D7593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6586043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615CBA8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https://www.mondelezinternational.com/ukraine/</w:t>
            </w:r>
          </w:p>
        </w:tc>
      </w:tr>
      <w:tr w:rsidR="00000000" w14:paraId="0250712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3C210A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2705350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0DD0120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+380987268544</w:t>
            </w:r>
          </w:p>
        </w:tc>
      </w:tr>
      <w:tr w:rsidR="00000000" w14:paraId="14325EB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310EF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1BD346B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134D368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1883322,1</w:t>
            </w:r>
          </w:p>
        </w:tc>
      </w:tr>
      <w:tr w:rsidR="00000000" w14:paraId="77CF182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B67913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7F3B519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21B6AB1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tc>
      </w:tr>
      <w:tr w:rsidR="00000000" w14:paraId="4ADD741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EDD845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732B4CE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5F33374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tc>
      </w:tr>
      <w:tr w:rsidR="00000000" w14:paraId="6CA3534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CBB7E8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2FF1072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4CAB8F3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767</w:t>
            </w:r>
          </w:p>
        </w:tc>
      </w:tr>
      <w:tr w:rsidR="00000000" w14:paraId="552EA79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0BFB4F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658F769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4BC4BA5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tc>
      </w:tr>
      <w:tr w:rsidR="00000000" w14:paraId="496967B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9E097A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38270AA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4CCFB36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10.82 - Виробництво какао, шоколаду та цукрових кондитерських виробiв (основний)</w:t>
            </w:r>
          </w:p>
          <w:p w14:paraId="57226C5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10.72 - Виробництво сухарiв i сухого печива; виробництво борошняних кондитерських виробiв, тортiв i тiстечок тривалого зберiгання</w:t>
            </w:r>
          </w:p>
          <w:p w14:paraId="5EA3B52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46.36 - Оптова торгiвля цукром, шоколадом i кондитерськими виробами</w:t>
            </w:r>
          </w:p>
        </w:tc>
      </w:tr>
      <w:tr w:rsidR="00000000" w14:paraId="49F62C8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BBBD8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207DDDF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17B8BC2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Однорівнева</w:t>
            </w:r>
          </w:p>
          <w:p w14:paraId="2517B85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Дворівнева</w:t>
            </w:r>
          </w:p>
          <w:p w14:paraId="1A0842C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Інше</w:t>
            </w:r>
          </w:p>
        </w:tc>
      </w:tr>
    </w:tbl>
    <w:p w14:paraId="0416E9E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7E18C30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514710C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6FE91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3F1436A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5816D3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"СIТI БАНК", МФО 300584</w:t>
            </w:r>
          </w:p>
        </w:tc>
      </w:tr>
      <w:tr w:rsidR="00000000" w14:paraId="393B2BF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E5B4E3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FD3E54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F108E9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21685485</w:t>
            </w:r>
          </w:p>
        </w:tc>
      </w:tr>
      <w:tr w:rsidR="00000000" w14:paraId="2C83188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E129F5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B7782B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52DE12C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UA653005840000026001200009541</w:t>
            </w:r>
          </w:p>
        </w:tc>
      </w:tr>
      <w:tr w:rsidR="00000000" w14:paraId="0D4EDFB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C511B1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E89C4C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564E1A2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7AB7EDB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5E8CE7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6F44748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30384B9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"СIТI БАНК", МФО 300584</w:t>
            </w:r>
          </w:p>
        </w:tc>
      </w:tr>
      <w:tr w:rsidR="00000000" w14:paraId="68EB6C7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D28535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F12D94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125243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21685485</w:t>
            </w:r>
          </w:p>
        </w:tc>
      </w:tr>
      <w:tr w:rsidR="00000000" w14:paraId="526A9A9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AAD995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0E0F66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315985B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UA843005840000026009200009509</w:t>
            </w:r>
          </w:p>
        </w:tc>
      </w:tr>
      <w:tr w:rsidR="00000000" w14:paraId="22172F0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EB94AA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572B50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1C98844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iн.валюта</w:t>
            </w:r>
          </w:p>
        </w:tc>
      </w:tr>
      <w:tr w:rsidR="00000000" w14:paraId="14E45AE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E73B87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6879A64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1DEC7F8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"СIТI БАНК", МФО 300584</w:t>
            </w:r>
          </w:p>
        </w:tc>
      </w:tr>
      <w:tr w:rsidR="00000000" w14:paraId="2B61E90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780C82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28B77C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B7DFD0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21685485</w:t>
            </w:r>
          </w:p>
        </w:tc>
      </w:tr>
      <w:tr w:rsidR="00000000" w14:paraId="2561102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635EE4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E03559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20F6567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UA263005840000026005200009525</w:t>
            </w:r>
          </w:p>
        </w:tc>
      </w:tr>
      <w:tr w:rsidR="00000000" w14:paraId="2E2B7CF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7B606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D2EF33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D3610B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iн.валюта</w:t>
            </w:r>
          </w:p>
        </w:tc>
      </w:tr>
      <w:tr w:rsidR="00000000" w14:paraId="3273694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56502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1F11E71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CDA6C2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"СIТI БАНК", МФО 300584</w:t>
            </w:r>
          </w:p>
        </w:tc>
      </w:tr>
      <w:tr w:rsidR="00000000" w14:paraId="0C4A81D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09BD97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5F15A1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7199A8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21685485</w:t>
            </w:r>
          </w:p>
        </w:tc>
      </w:tr>
      <w:tr w:rsidR="00000000" w14:paraId="6BCD67B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163E98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10394E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51740AC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UA603005840000026005200009495</w:t>
            </w:r>
          </w:p>
        </w:tc>
      </w:tr>
      <w:tr w:rsidR="00000000" w14:paraId="7ABD3CA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2112DB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81311D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EA0D2A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iн.валюта</w:t>
            </w:r>
          </w:p>
        </w:tc>
      </w:tr>
      <w:tr w:rsidR="00000000" w14:paraId="5D53CDB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8CDE97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1E81E5E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85E865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"СIТI БАНК", МФО 300584</w:t>
            </w:r>
          </w:p>
        </w:tc>
      </w:tr>
      <w:tr w:rsidR="00000000" w14:paraId="52608AE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30865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43C5ED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B0F3B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21685485</w:t>
            </w:r>
          </w:p>
        </w:tc>
      </w:tr>
      <w:tr w:rsidR="00000000" w14:paraId="2197F7E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CBD571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6C22C3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42285D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UA843005840000026009200009703</w:t>
            </w:r>
          </w:p>
        </w:tc>
      </w:tr>
      <w:tr w:rsidR="00000000" w14:paraId="76717AC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E0F25A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6252AE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5AEAA2B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689167D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A7F3F5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7EAEB95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1009F1E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"Кредi Агрiколь банк"</w:t>
            </w:r>
          </w:p>
        </w:tc>
      </w:tr>
      <w:tr w:rsidR="00000000" w14:paraId="3112986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D4A26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0C55C2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E6CDAC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14361575</w:t>
            </w:r>
          </w:p>
        </w:tc>
      </w:tr>
      <w:tr w:rsidR="00000000" w14:paraId="46C215F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16D8E9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3043BA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6470643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 59 300614 0000026040008047454</w:t>
            </w:r>
          </w:p>
        </w:tc>
      </w:tr>
      <w:tr w:rsidR="00000000" w14:paraId="16B5623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ED2234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E9F9C7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C41E32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316629B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78566D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63C6386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466F283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"Кредi Агрiколь банк"</w:t>
            </w:r>
          </w:p>
        </w:tc>
      </w:tr>
      <w:tr w:rsidR="00000000" w14:paraId="047C699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75BD8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9982F1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E52AB2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14361575</w:t>
            </w:r>
          </w:p>
        </w:tc>
      </w:tr>
      <w:tr w:rsidR="00000000" w14:paraId="1889C61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3EC3DD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90E505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052C88D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 59 300614 0000026004500345678</w:t>
            </w:r>
          </w:p>
        </w:tc>
      </w:tr>
      <w:tr w:rsidR="00000000" w14:paraId="23D2058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88240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8033C4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6F2CC6C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48A38DB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B2BBC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67EA6E6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27998C2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AT "IHГ БАНК  УКРАЇНА"</w:t>
            </w:r>
          </w:p>
        </w:tc>
      </w:tr>
      <w:tr w:rsidR="00000000" w14:paraId="23C45AB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5815B0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E8D434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C5AD5A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21684818</w:t>
            </w:r>
          </w:p>
        </w:tc>
      </w:tr>
      <w:tr w:rsidR="00000000" w14:paraId="2F4D6FA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ED8E4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1C4559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0414DC2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UA553005390000026001213262820</w:t>
            </w:r>
          </w:p>
        </w:tc>
      </w:tr>
      <w:tr w:rsidR="00000000" w14:paraId="5933866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8C1EE3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2DD119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05F9BF7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iн.валюта</w:t>
            </w:r>
          </w:p>
        </w:tc>
      </w:tr>
      <w:tr w:rsidR="00000000" w14:paraId="3045D17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8B9255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9</w:t>
            </w:r>
          </w:p>
        </w:tc>
        <w:tc>
          <w:tcPr>
            <w:tcW w:w="3500" w:type="dxa"/>
            <w:tcBorders>
              <w:top w:val="single" w:sz="6" w:space="0" w:color="auto"/>
              <w:left w:val="single" w:sz="6" w:space="0" w:color="auto"/>
              <w:bottom w:val="single" w:sz="6" w:space="0" w:color="auto"/>
              <w:right w:val="single" w:sz="6" w:space="0" w:color="auto"/>
            </w:tcBorders>
            <w:vAlign w:val="center"/>
          </w:tcPr>
          <w:p w14:paraId="61DB673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391330D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AT "IHГ БАНК  УКРАЇНА"</w:t>
            </w:r>
          </w:p>
        </w:tc>
      </w:tr>
      <w:tr w:rsidR="00000000" w14:paraId="6038693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180C96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4BA1BE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2CC3C7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21684818</w:t>
            </w:r>
          </w:p>
        </w:tc>
      </w:tr>
      <w:tr w:rsidR="00000000" w14:paraId="59AFAC7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F2A11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C01060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0E5122C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UA483005390000026006003262820</w:t>
            </w:r>
          </w:p>
        </w:tc>
      </w:tr>
      <w:tr w:rsidR="00000000" w14:paraId="32B1F9C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37752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3B1587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559AE78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bl>
    <w:p w14:paraId="70C7C37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3AA2C8A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11F99F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Судові справи: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2200"/>
        <w:gridCol w:w="2200"/>
        <w:gridCol w:w="2200"/>
        <w:gridCol w:w="1650"/>
      </w:tblGrid>
      <w:tr w:rsidR="00000000" w14:paraId="488F74A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05ED3C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40F06E3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Номер справи та дата відкриття провадження</w:t>
            </w:r>
          </w:p>
        </w:tc>
        <w:tc>
          <w:tcPr>
            <w:tcW w:w="2200" w:type="dxa"/>
            <w:tcBorders>
              <w:top w:val="single" w:sz="6" w:space="0" w:color="auto"/>
              <w:left w:val="single" w:sz="6" w:space="0" w:color="auto"/>
              <w:bottom w:val="single" w:sz="6" w:space="0" w:color="auto"/>
              <w:right w:val="single" w:sz="6" w:space="0" w:color="auto"/>
            </w:tcBorders>
            <w:vAlign w:val="center"/>
          </w:tcPr>
          <w:p w14:paraId="62C0E86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Найменування суду</w:t>
            </w:r>
          </w:p>
        </w:tc>
        <w:tc>
          <w:tcPr>
            <w:tcW w:w="2200" w:type="dxa"/>
            <w:tcBorders>
              <w:top w:val="single" w:sz="6" w:space="0" w:color="auto"/>
              <w:left w:val="single" w:sz="6" w:space="0" w:color="auto"/>
              <w:bottom w:val="single" w:sz="6" w:space="0" w:color="auto"/>
              <w:right w:val="single" w:sz="6" w:space="0" w:color="auto"/>
            </w:tcBorders>
            <w:vAlign w:val="center"/>
          </w:tcPr>
          <w:p w14:paraId="1DA1A37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Позивач</w:t>
            </w:r>
          </w:p>
        </w:tc>
        <w:tc>
          <w:tcPr>
            <w:tcW w:w="2200" w:type="dxa"/>
            <w:tcBorders>
              <w:top w:val="single" w:sz="6" w:space="0" w:color="auto"/>
              <w:left w:val="single" w:sz="6" w:space="0" w:color="auto"/>
              <w:bottom w:val="single" w:sz="6" w:space="0" w:color="auto"/>
              <w:right w:val="single" w:sz="6" w:space="0" w:color="auto"/>
            </w:tcBorders>
            <w:vAlign w:val="center"/>
          </w:tcPr>
          <w:p w14:paraId="5D0A09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Відповідач</w:t>
            </w:r>
          </w:p>
        </w:tc>
        <w:tc>
          <w:tcPr>
            <w:tcW w:w="2200" w:type="dxa"/>
            <w:tcBorders>
              <w:top w:val="single" w:sz="6" w:space="0" w:color="auto"/>
              <w:left w:val="single" w:sz="6" w:space="0" w:color="auto"/>
              <w:bottom w:val="single" w:sz="6" w:space="0" w:color="auto"/>
              <w:right w:val="single" w:sz="6" w:space="0" w:color="auto"/>
            </w:tcBorders>
            <w:vAlign w:val="center"/>
          </w:tcPr>
          <w:p w14:paraId="65143B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Третя особа</w:t>
            </w:r>
          </w:p>
        </w:tc>
        <w:tc>
          <w:tcPr>
            <w:tcW w:w="2200" w:type="dxa"/>
            <w:tcBorders>
              <w:top w:val="single" w:sz="6" w:space="0" w:color="auto"/>
              <w:left w:val="single" w:sz="6" w:space="0" w:color="auto"/>
              <w:bottom w:val="single" w:sz="6" w:space="0" w:color="auto"/>
              <w:right w:val="single" w:sz="6" w:space="0" w:color="auto"/>
            </w:tcBorders>
            <w:vAlign w:val="center"/>
          </w:tcPr>
          <w:p w14:paraId="543C480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Позовні вимоги (в т.ч. їх розмір)</w:t>
            </w:r>
          </w:p>
        </w:tc>
        <w:tc>
          <w:tcPr>
            <w:tcW w:w="1650" w:type="dxa"/>
            <w:tcBorders>
              <w:top w:val="single" w:sz="6" w:space="0" w:color="auto"/>
              <w:left w:val="single" w:sz="6" w:space="0" w:color="auto"/>
              <w:bottom w:val="single" w:sz="6" w:space="0" w:color="auto"/>
            </w:tcBorders>
            <w:vAlign w:val="center"/>
          </w:tcPr>
          <w:p w14:paraId="27A38E1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Стан розгляду справи</w:t>
            </w:r>
          </w:p>
        </w:tc>
      </w:tr>
      <w:tr w:rsidR="00000000" w14:paraId="4960FC84"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27C0D0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2C0BB8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58AD32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0789CDE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200" w:type="dxa"/>
            <w:tcBorders>
              <w:top w:val="single" w:sz="6" w:space="0" w:color="auto"/>
              <w:left w:val="single" w:sz="6" w:space="0" w:color="auto"/>
              <w:bottom w:val="single" w:sz="6" w:space="0" w:color="auto"/>
              <w:right w:val="single" w:sz="6" w:space="0" w:color="auto"/>
            </w:tcBorders>
            <w:vAlign w:val="center"/>
          </w:tcPr>
          <w:p w14:paraId="4CAD07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200" w:type="dxa"/>
            <w:tcBorders>
              <w:top w:val="single" w:sz="6" w:space="0" w:color="auto"/>
              <w:left w:val="single" w:sz="6" w:space="0" w:color="auto"/>
              <w:bottom w:val="single" w:sz="6" w:space="0" w:color="auto"/>
              <w:right w:val="single" w:sz="6" w:space="0" w:color="auto"/>
            </w:tcBorders>
            <w:vAlign w:val="center"/>
          </w:tcPr>
          <w:p w14:paraId="25012D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2200" w:type="dxa"/>
            <w:tcBorders>
              <w:top w:val="single" w:sz="6" w:space="0" w:color="auto"/>
              <w:left w:val="single" w:sz="6" w:space="0" w:color="auto"/>
              <w:bottom w:val="single" w:sz="6" w:space="0" w:color="auto"/>
              <w:right w:val="single" w:sz="6" w:space="0" w:color="auto"/>
            </w:tcBorders>
            <w:vAlign w:val="center"/>
          </w:tcPr>
          <w:p w14:paraId="392BBA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650" w:type="dxa"/>
            <w:tcBorders>
              <w:top w:val="single" w:sz="6" w:space="0" w:color="auto"/>
              <w:left w:val="single" w:sz="6" w:space="0" w:color="auto"/>
              <w:bottom w:val="single" w:sz="6" w:space="0" w:color="auto"/>
            </w:tcBorders>
            <w:vAlign w:val="center"/>
          </w:tcPr>
          <w:p w14:paraId="5D921C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r>
      <w:tr w:rsidR="00000000" w14:paraId="15E287A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8C43E5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0B98D9D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640/4967/19</w:t>
            </w:r>
          </w:p>
          <w:p w14:paraId="01E9CA1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12.04.2019</w:t>
            </w:r>
          </w:p>
        </w:tc>
        <w:tc>
          <w:tcPr>
            <w:tcW w:w="2200" w:type="dxa"/>
            <w:tcBorders>
              <w:top w:val="single" w:sz="6" w:space="0" w:color="auto"/>
              <w:left w:val="single" w:sz="6" w:space="0" w:color="auto"/>
              <w:bottom w:val="single" w:sz="6" w:space="0" w:color="auto"/>
              <w:right w:val="single" w:sz="6" w:space="0" w:color="auto"/>
            </w:tcBorders>
          </w:tcPr>
          <w:p w14:paraId="00FAF5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Окружний адмiнiстративний суд мiста Києва</w:t>
            </w:r>
          </w:p>
        </w:tc>
        <w:tc>
          <w:tcPr>
            <w:tcW w:w="2200" w:type="dxa"/>
            <w:tcBorders>
              <w:top w:val="single" w:sz="6" w:space="0" w:color="auto"/>
              <w:left w:val="single" w:sz="6" w:space="0" w:color="auto"/>
              <w:bottom w:val="single" w:sz="6" w:space="0" w:color="auto"/>
              <w:right w:val="single" w:sz="6" w:space="0" w:color="auto"/>
            </w:tcBorders>
          </w:tcPr>
          <w:p w14:paraId="36A44AF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ПрАТ "Монделiс Україна"</w:t>
            </w:r>
          </w:p>
        </w:tc>
        <w:tc>
          <w:tcPr>
            <w:tcW w:w="2200" w:type="dxa"/>
            <w:tcBorders>
              <w:top w:val="single" w:sz="6" w:space="0" w:color="auto"/>
              <w:left w:val="single" w:sz="6" w:space="0" w:color="auto"/>
              <w:bottom w:val="single" w:sz="6" w:space="0" w:color="auto"/>
              <w:right w:val="single" w:sz="6" w:space="0" w:color="auto"/>
            </w:tcBorders>
          </w:tcPr>
          <w:p w14:paraId="57DD474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Державна служба геологiї та надр України</w:t>
            </w:r>
          </w:p>
        </w:tc>
        <w:tc>
          <w:tcPr>
            <w:tcW w:w="2200" w:type="dxa"/>
            <w:tcBorders>
              <w:top w:val="single" w:sz="6" w:space="0" w:color="auto"/>
              <w:left w:val="single" w:sz="6" w:space="0" w:color="auto"/>
              <w:bottom w:val="single" w:sz="6" w:space="0" w:color="auto"/>
              <w:right w:val="single" w:sz="6" w:space="0" w:color="auto"/>
            </w:tcBorders>
          </w:tcPr>
          <w:p w14:paraId="5F03920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200" w:type="dxa"/>
            <w:tcBorders>
              <w:top w:val="single" w:sz="6" w:space="0" w:color="auto"/>
              <w:left w:val="single" w:sz="6" w:space="0" w:color="auto"/>
              <w:bottom w:val="single" w:sz="6" w:space="0" w:color="auto"/>
              <w:right w:val="single" w:sz="6" w:space="0" w:color="auto"/>
            </w:tcBorders>
          </w:tcPr>
          <w:p w14:paraId="27061BB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Суттю спору є вимоги ПрАТ "Монделiс Україна" про визнання протиправним та скасування наказу Державної служби геологiї та надр України про зупинення дiї спецiального дозволу на користування надрами.</w:t>
            </w:r>
          </w:p>
          <w:p w14:paraId="3061268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Наказ був винесений в той час, як компанiя усувала недолiки в органiзацiї користування надрами,  встановленi при проведеннi перевiрки. Позовнi вимоги немайнового характеру</w:t>
            </w:r>
          </w:p>
          <w:p w14:paraId="1A0FB8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Усунення недолiкiв було неможливо вчинити у встановлений строк через бездiяльнiсть самої ж  Державної служби геологiї та надр України, про що службу неодноразово було сповiщено. Не дивлячись не це, останньою було видано оскаржуваний наказ.   </w:t>
            </w:r>
          </w:p>
          <w:p w14:paraId="682A92B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50" w:type="dxa"/>
            <w:tcBorders>
              <w:top w:val="single" w:sz="6" w:space="0" w:color="auto"/>
              <w:left w:val="single" w:sz="6" w:space="0" w:color="auto"/>
              <w:bottom w:val="single" w:sz="6" w:space="0" w:color="auto"/>
            </w:tcBorders>
          </w:tcPr>
          <w:p w14:paraId="444B3F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Позовну заяву було подано до суду 25.03.2019.Сторони подали письмовi заяви по сутi справи.Суд вже пропустив крайнiй термiн розгляду справи i винесення рiшення.На даний момент справа ще не розглянута.</w:t>
            </w:r>
          </w:p>
        </w:tc>
      </w:tr>
    </w:tbl>
    <w:p w14:paraId="2E7AFB1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p w14:paraId="3EFF910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000000" w14:paraId="49BB4721"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6D6A793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28B88F5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Номер та дата рішення, яким </w:t>
            </w:r>
            <w:r>
              <w:rPr>
                <w:rFonts w:ascii="Times New Roman CYR" w:hAnsi="Times New Roman CYR" w:cs="Times New Roman CYR"/>
                <w:kern w:val="0"/>
                <w:sz w:val="20"/>
                <w:szCs w:val="20"/>
              </w:rPr>
              <w:lastRenderedPageBreak/>
              <w:t>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4B5EDE9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118DD0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Суть санкції (та її розмір, якщо </w:t>
            </w:r>
            <w:r>
              <w:rPr>
                <w:rFonts w:ascii="Times New Roman CYR" w:hAnsi="Times New Roman CYR" w:cs="Times New Roman CYR"/>
                <w:kern w:val="0"/>
                <w:sz w:val="20"/>
                <w:szCs w:val="20"/>
              </w:rPr>
              <w:lastRenderedPageBreak/>
              <w:t>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0893C81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286F1D1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Інформація про виконання</w:t>
            </w:r>
          </w:p>
        </w:tc>
      </w:tr>
      <w:tr w:rsidR="00000000" w14:paraId="0C0A6262"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30A4A6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37829A6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286B752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3D7966E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756D85A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850" w:type="dxa"/>
            <w:tcBorders>
              <w:top w:val="single" w:sz="6" w:space="0" w:color="auto"/>
              <w:left w:val="single" w:sz="6" w:space="0" w:color="auto"/>
              <w:bottom w:val="single" w:sz="6" w:space="0" w:color="auto"/>
            </w:tcBorders>
            <w:vAlign w:val="center"/>
          </w:tcPr>
          <w:p w14:paraId="05AE554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r>
      <w:tr w:rsidR="00000000" w14:paraId="54C2A99F"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056CF8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407522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ППР №200/35-00-04-03-36</w:t>
            </w:r>
          </w:p>
          <w:p w14:paraId="68BD4E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10.05.2023</w:t>
            </w:r>
          </w:p>
        </w:tc>
        <w:tc>
          <w:tcPr>
            <w:tcW w:w="2200" w:type="dxa"/>
            <w:tcBorders>
              <w:top w:val="single" w:sz="6" w:space="0" w:color="auto"/>
              <w:left w:val="single" w:sz="6" w:space="0" w:color="auto"/>
              <w:bottom w:val="single" w:sz="6" w:space="0" w:color="auto"/>
              <w:right w:val="single" w:sz="6" w:space="0" w:color="auto"/>
            </w:tcBorders>
          </w:tcPr>
          <w:p w14:paraId="4188CF6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Пiвнiчне МГУ ДПС по роботi ВПП</w:t>
            </w:r>
          </w:p>
        </w:tc>
        <w:tc>
          <w:tcPr>
            <w:tcW w:w="2200" w:type="dxa"/>
            <w:tcBorders>
              <w:top w:val="single" w:sz="6" w:space="0" w:color="auto"/>
              <w:left w:val="single" w:sz="6" w:space="0" w:color="auto"/>
              <w:bottom w:val="single" w:sz="6" w:space="0" w:color="auto"/>
              <w:right w:val="single" w:sz="6" w:space="0" w:color="auto"/>
            </w:tcBorders>
          </w:tcPr>
          <w:p w14:paraId="38899A4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 120-1 ст. 120-1 ПКУ, 2 365 грн.</w:t>
            </w:r>
          </w:p>
        </w:tc>
        <w:tc>
          <w:tcPr>
            <w:tcW w:w="4400" w:type="dxa"/>
            <w:tcBorders>
              <w:top w:val="single" w:sz="6" w:space="0" w:color="auto"/>
              <w:left w:val="single" w:sz="6" w:space="0" w:color="auto"/>
              <w:bottom w:val="single" w:sz="6" w:space="0" w:color="auto"/>
              <w:right w:val="single" w:sz="6" w:space="0" w:color="auto"/>
            </w:tcBorders>
          </w:tcPr>
          <w:p w14:paraId="11F16DC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порушення строкiв реєстрацiї податкових накладних/розрахункiв коригування в ЄРПН, вiдповiдно до п.201.10 ст. 201 Роздiлу V Податкового Кодексу України </w:t>
            </w:r>
          </w:p>
          <w:p w14:paraId="760DB4D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850" w:type="dxa"/>
            <w:tcBorders>
              <w:top w:val="single" w:sz="6" w:space="0" w:color="auto"/>
              <w:left w:val="single" w:sz="6" w:space="0" w:color="auto"/>
              <w:bottom w:val="single" w:sz="6" w:space="0" w:color="auto"/>
            </w:tcBorders>
          </w:tcPr>
          <w:p w14:paraId="06DFDA3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Сплачено</w:t>
            </w:r>
          </w:p>
        </w:tc>
      </w:tr>
    </w:tbl>
    <w:p w14:paraId="4AF2237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p w14:paraId="4647328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3469EB3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2. Органи управління та посадові особи. Організаційна структура</w:t>
      </w:r>
    </w:p>
    <w:p w14:paraId="5E70663B"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14:paraId="572A5FC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90EBE7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65AD138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3BD2DC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235035B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Персональний склад органу управління (контролю)</w:t>
            </w:r>
          </w:p>
        </w:tc>
      </w:tr>
      <w:tr w:rsidR="00000000" w14:paraId="63F6607F"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FA990D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772654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148009F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0F0C3F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38E7A826"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7DE0C75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334D5C2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14:paraId="39D6347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Єдиним акцiонером Емiтента є юридична особа - нерезидент</w:t>
            </w:r>
          </w:p>
        </w:tc>
        <w:tc>
          <w:tcPr>
            <w:tcW w:w="4000" w:type="dxa"/>
            <w:tcBorders>
              <w:top w:val="single" w:sz="6" w:space="0" w:color="auto"/>
              <w:left w:val="single" w:sz="6" w:space="0" w:color="auto"/>
              <w:bottom w:val="single" w:sz="6" w:space="0" w:color="auto"/>
            </w:tcBorders>
          </w:tcPr>
          <w:p w14:paraId="69A6A3D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Єдиним акцiонером Емiтента є юридична особа - MONDELEZ NEDERLAND SERVICES B.V. (МОНДЕЛIС НЕДЕРЛАНД СЕРВIСЕЗ Б.В.), приватна компанiя з обмеженою вiдповiдальнiстю, що зареєстрована вiдповiдно до законодавства Нiдерландiв, з мiсцезнаходженням: Verlengde Poolseweg 34, Bond Towers, 4818 CL Breda, Oosterhout, the Netherlands (Верленгде Полсевег, 34, Бонд Таверс, 4818CL, Бреда, м. Остерхаут, Нiдерланди), iдентифiкацiйний код в комерцiйному реєстрi Торгової Палати Нiдерландiв: 34283945, що володiє 100% його статут</w:t>
            </w:r>
            <w:r>
              <w:rPr>
                <w:rFonts w:ascii="Times New Roman CYR" w:hAnsi="Times New Roman CYR" w:cs="Times New Roman CYR"/>
                <w:kern w:val="0"/>
                <w:sz w:val="22"/>
                <w:szCs w:val="22"/>
              </w:rPr>
              <w:t xml:space="preserve">ного капiталу. </w:t>
            </w:r>
          </w:p>
        </w:tc>
      </w:tr>
      <w:tr w:rsidR="00000000" w14:paraId="3F3857D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A2A93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3E5AD3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14:paraId="3D7165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ГЕНЕРАЛЬНИЙ ДИРЕКТОР є одноосiбним виконавчим органом Емiтента</w:t>
            </w:r>
          </w:p>
        </w:tc>
        <w:tc>
          <w:tcPr>
            <w:tcW w:w="4000" w:type="dxa"/>
            <w:tcBorders>
              <w:top w:val="single" w:sz="6" w:space="0" w:color="auto"/>
              <w:left w:val="single" w:sz="6" w:space="0" w:color="auto"/>
              <w:bottom w:val="single" w:sz="6" w:space="0" w:color="auto"/>
            </w:tcBorders>
          </w:tcPr>
          <w:p w14:paraId="4243D4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Генеральний директор Емiтента  - Самусенко Андрiй Вiкторович</w:t>
            </w:r>
          </w:p>
        </w:tc>
      </w:tr>
    </w:tbl>
    <w:p w14:paraId="6F8DFC6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3519424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25107AA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043D4E5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04B2865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EF3A0B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2368A9E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0149CE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078C223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260A5D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6A80C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27E5D55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3737602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626F717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8607A6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5845C18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071D28C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2A38467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FD820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15657A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586C7EB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545703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63EFE4D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52B290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63D0F2D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6200F60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59EB2EC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E6F5A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0F077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241DE7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59AFCDB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BF302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44A765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64ECFBD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Самусенко Андрiй Вiкторович</w:t>
            </w:r>
          </w:p>
        </w:tc>
        <w:tc>
          <w:tcPr>
            <w:tcW w:w="1100" w:type="dxa"/>
            <w:tcBorders>
              <w:top w:val="single" w:sz="6" w:space="0" w:color="auto"/>
              <w:left w:val="single" w:sz="6" w:space="0" w:color="auto"/>
              <w:bottom w:val="single" w:sz="6" w:space="0" w:color="auto"/>
              <w:right w:val="single" w:sz="6" w:space="0" w:color="auto"/>
            </w:tcBorders>
            <w:vAlign w:val="center"/>
          </w:tcPr>
          <w:p w14:paraId="7286775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B9D37B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96E81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1972</w:t>
            </w:r>
          </w:p>
        </w:tc>
        <w:tc>
          <w:tcPr>
            <w:tcW w:w="1000" w:type="dxa"/>
            <w:tcBorders>
              <w:top w:val="single" w:sz="6" w:space="0" w:color="auto"/>
              <w:left w:val="single" w:sz="6" w:space="0" w:color="auto"/>
              <w:bottom w:val="single" w:sz="6" w:space="0" w:color="auto"/>
              <w:right w:val="single" w:sz="6" w:space="0" w:color="auto"/>
            </w:tcBorders>
            <w:vAlign w:val="center"/>
          </w:tcPr>
          <w:p w14:paraId="2F6B038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Нацiональна академiя Служби безпеки України, спецiальнiсть "Правознавство" - юрист iз знанням нiмецької мови.</w:t>
            </w:r>
          </w:p>
        </w:tc>
        <w:tc>
          <w:tcPr>
            <w:tcW w:w="900" w:type="dxa"/>
            <w:tcBorders>
              <w:top w:val="single" w:sz="6" w:space="0" w:color="auto"/>
              <w:left w:val="single" w:sz="6" w:space="0" w:color="auto"/>
              <w:bottom w:val="single" w:sz="6" w:space="0" w:color="auto"/>
              <w:right w:val="single" w:sz="6" w:space="0" w:color="auto"/>
            </w:tcBorders>
            <w:vAlign w:val="center"/>
          </w:tcPr>
          <w:p w14:paraId="377378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63D58B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ПрАТ "МОНДЕЛIС УКРАЇНА"</w:t>
            </w:r>
          </w:p>
          <w:p w14:paraId="1246F00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00382220</w:t>
            </w:r>
          </w:p>
          <w:p w14:paraId="4672956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 ПРИВАТНОГО АКЦIОНЕРНОГО ТОВАРИСТВА "МОНДЕЛIС УКРАЇНА" (повноваження за цiєю посадою припинено 10.06.2019 року згiдно з рiшенням єдиного акцiонера, що одноособово володiє 100% акцiй Емiтента вiд 10.06.2019 року №4).</w:t>
            </w:r>
          </w:p>
          <w:p w14:paraId="34DB7DD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14:paraId="63779B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09.06.2022</w:t>
            </w:r>
          </w:p>
          <w:p w14:paraId="7EA80E8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104328A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B7BDBE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487494B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497D9C9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B7A0E2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547D56D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677A49A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969798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E68A17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4F070F2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5CDCF22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341C73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2D8439A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4A5CA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76817C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5F653A6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23CE0D3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2EC2D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9A539F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02AD3FD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B774B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A97C43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6B4F5F9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5F1366D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065C520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1EC43B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93DA05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7C3CFE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4AEDE74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21069BB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2DDFE4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971AB7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14:paraId="68CB9F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Єфанова Вiра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14:paraId="66AE8AC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10EF1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54523A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14:paraId="0874AA8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Сумський сiльсько</w:t>
            </w:r>
            <w:r>
              <w:rPr>
                <w:rFonts w:ascii="Times New Roman CYR" w:hAnsi="Times New Roman CYR" w:cs="Times New Roman CYR"/>
                <w:kern w:val="0"/>
                <w:sz w:val="20"/>
                <w:szCs w:val="20"/>
              </w:rPr>
              <w:lastRenderedPageBreak/>
              <w:t>господарський iнститут, спецiальнiсть "Бухгалтерський облiк i аналiз господарської дiяльностi в сiльському господарствi" - економiст по бухгалтерському облiку в сiльському господарствi</w:t>
            </w:r>
          </w:p>
        </w:tc>
        <w:tc>
          <w:tcPr>
            <w:tcW w:w="900" w:type="dxa"/>
            <w:tcBorders>
              <w:top w:val="single" w:sz="6" w:space="0" w:color="auto"/>
              <w:left w:val="single" w:sz="6" w:space="0" w:color="auto"/>
              <w:bottom w:val="single" w:sz="6" w:space="0" w:color="auto"/>
              <w:right w:val="single" w:sz="6" w:space="0" w:color="auto"/>
            </w:tcBorders>
            <w:vAlign w:val="center"/>
          </w:tcPr>
          <w:p w14:paraId="7EBE20F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31</w:t>
            </w:r>
          </w:p>
        </w:tc>
        <w:tc>
          <w:tcPr>
            <w:tcW w:w="2000" w:type="dxa"/>
            <w:tcBorders>
              <w:top w:val="single" w:sz="6" w:space="0" w:color="auto"/>
              <w:left w:val="single" w:sz="6" w:space="0" w:color="auto"/>
              <w:bottom w:val="single" w:sz="6" w:space="0" w:color="auto"/>
              <w:right w:val="single" w:sz="6" w:space="0" w:color="auto"/>
            </w:tcBorders>
            <w:vAlign w:val="center"/>
          </w:tcPr>
          <w:p w14:paraId="5F0327C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ПРИВАТНЕ АКЦIОНЕРНЕ ТОВАРИСТВО "МОНДЕЛIС </w:t>
            </w:r>
            <w:r>
              <w:rPr>
                <w:rFonts w:ascii="Times New Roman CYR" w:hAnsi="Times New Roman CYR" w:cs="Times New Roman CYR"/>
                <w:kern w:val="0"/>
                <w:sz w:val="20"/>
                <w:szCs w:val="20"/>
              </w:rPr>
              <w:lastRenderedPageBreak/>
              <w:t>УКРАЇНА",</w:t>
            </w:r>
          </w:p>
          <w:p w14:paraId="1719CFF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00382220,</w:t>
            </w:r>
          </w:p>
          <w:p w14:paraId="544B117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ревiзiйної комiсiї (повноваження за цiєю посадою припинено 05.04.2018 року згiдно з рiшенням рiчних загальних зборiв акцiонерiв Емiтента вiд 05.04.2018 року, протокол №44).</w:t>
            </w:r>
          </w:p>
        </w:tc>
        <w:tc>
          <w:tcPr>
            <w:tcW w:w="1400" w:type="dxa"/>
            <w:tcBorders>
              <w:top w:val="single" w:sz="6" w:space="0" w:color="auto"/>
              <w:left w:val="single" w:sz="6" w:space="0" w:color="auto"/>
              <w:bottom w:val="single" w:sz="6" w:space="0" w:color="auto"/>
              <w:right w:val="single" w:sz="6" w:space="0" w:color="auto"/>
            </w:tcBorders>
            <w:vAlign w:val="center"/>
          </w:tcPr>
          <w:p w14:paraId="5EE8DB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31.03.2017</w:t>
            </w:r>
          </w:p>
          <w:p w14:paraId="2628EBC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бестроково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0AEADC0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6F08007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159178A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p w14:paraId="08CE741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73484C87"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lastRenderedPageBreak/>
        <w:t>3. Структура власності</w:t>
      </w:r>
    </w:p>
    <w:p w14:paraId="37ACBD6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https://www.mondelezinternational.com/ukraine/corporate-information/</w:t>
      </w:r>
    </w:p>
    <w:p w14:paraId="78EAAA5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5D951BCD"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3C5865C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 Товариство не належить до будь-яких об'єднань пiдприємств вiдповiдно до Закону України "Про особливостi регулювання дiяльностi юридичних осiб окремих органiзацiйно-правових форм у перехiдний перiод та об'єднань юридичних осiб" (та Господарського кодексу, який був чинний у </w:t>
      </w:r>
      <w:r>
        <w:rPr>
          <w:rFonts w:ascii="Times New Roman CYR" w:hAnsi="Times New Roman CYR" w:cs="Times New Roman CYR"/>
          <w:kern w:val="0"/>
        </w:rPr>
        <w:t>2021-2025 роках)</w:t>
      </w:r>
    </w:p>
    <w:p w14:paraId="264683F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A41D61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 Товариство не веде спiльну дiяльнiсть з iншими органiзацiями, пiдприємствами, установами </w:t>
      </w:r>
    </w:p>
    <w:p w14:paraId="4AC06E5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3556B2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Опис обраної облiкової полiтики (метод нарахування амортизацiї, метод оцiнки вартостi запасiв, метод облiку та оцiнки вартостi фiнансових iнвестицiй тощо). Метод нарахування амортизацiї - Амортизацiя об'єктiв основних засобiв розраховується прямолiнiйним методом який полягає в нарахуваннi постiйної суми амортизацiї протягом строку корисного використання активу, якщо при цьому не змiнюється лiквiдацiйна вартiсть активу. Амортизацiю нематерiальних активiв проводиться прямолiнiйним методом, який полягає в </w:t>
      </w:r>
      <w:r>
        <w:rPr>
          <w:rFonts w:ascii="Times New Roman CYR" w:hAnsi="Times New Roman CYR" w:cs="Times New Roman CYR"/>
          <w:kern w:val="0"/>
        </w:rPr>
        <w:t>нарахуваннi постiйної суми амортизацiї протягом строку корисного використання активу, якщо при цьому не змiнюється лiквiдацiйна вартiсть активу. Активи у формi права користування амортизуються лiнiйним методом протягом коротшого з таких перiодiв: термiн оренди або передбачуваний термiн корисного використання активiв.</w:t>
      </w:r>
    </w:p>
    <w:p w14:paraId="0EFC7A7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6F2925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Метод оцiнки вартостi запасiв - товарно-матерiальнi запаси облiковуються за первiсною вартiстю або чистою вартiстю реалiзацiї, залежно вiд того, яка з них менша. Вартiсть запасiв визначається за методом середньозваженої собiвартостi. Вартiсть готової продукцiї та незавершеного виробництва включає вартiсть сировини, прямi витрати на оплату працi, iншi прямi витрати та вiдповiднi виробничi накладнi витрати, розподiленi на пiдставi обсягiв виготовленої / реалiзованої продукцiї, але не включає витрат за позиков</w:t>
      </w:r>
      <w:r>
        <w:rPr>
          <w:rFonts w:ascii="Times New Roman CYR" w:hAnsi="Times New Roman CYR" w:cs="Times New Roman CYR"/>
          <w:kern w:val="0"/>
        </w:rPr>
        <w:t>ими коштами. Чиста вартiсть реалiзацiї це очiкувана цiна реалiзацiї у ходi нормального ведення бiзнесу за вирахуванням оцiночних витрат на доведення запасiв до завершеного стану та витрат на збут.</w:t>
      </w:r>
    </w:p>
    <w:p w14:paraId="22E4605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E51539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Метод облiку та оцiнки вартостi фiнансових iнвестицiй - на кiнець кожного звiтного перiоду керiвництво оцiнює наявнiсть ознак знецiнення iнвестицiй у дочiрнє пiдприємство. Якщо такi ознаки iснують, керiвництво розраховує вартiсть вiдшкодування, яка дорiвнює справедливiй вартостi активу мiнус витрати на продаж або вартостi використання, залежно вiд того, яка з цих сум бiльша. Балансова вартiсть iнвестицiї зменшується до вартостi вiдшкодування, а збиток вiд знецiнення визнається у складi прибутку або збитку з</w:t>
      </w:r>
      <w:r>
        <w:rPr>
          <w:rFonts w:ascii="Times New Roman CYR" w:hAnsi="Times New Roman CYR" w:cs="Times New Roman CYR"/>
          <w:kern w:val="0"/>
        </w:rPr>
        <w:t>а рiк.</w:t>
      </w:r>
    </w:p>
    <w:p w14:paraId="0101454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8CB010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Опис обраної полiтики щодо фiнансування дiяльностi особи, достатнiсть робочого капiталу для поточних потреб, можливi шляхи покращення лiквiдностi. Обачнiсть при управлiннi ризиком лiквiдностi передбачає наявнiсть достатньої суми грошових коштiв та наявнiсть достатнiх фiнансових ресурсiв завдяки використанню позикових коштiв. Внаслiдок динамiчного характеру основної дiяльностi Компанiї керiвництво прагне досягти гнучкостi фiнансування через забезпечення вiдкритих кредитних лiнiй.</w:t>
      </w:r>
    </w:p>
    <w:p w14:paraId="0EF2E2F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6F96A3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Мета Компанiї при управлiннi капiталом полягає у забезпеченнi подальшої роботи як безперервно дiючого пiдприємства, щоб приносити прибуток акцiонерам та вигоди iншим зацiкавленим сторонам, а також пiдтримувати оптимальну структуру капiталу для зменшення його вартостi. Для пiдтримування або коригування структури капiталу Компанiя може коригувати суму дивiдендiв, що виплачуються акцiонерам, повертати капiтал акцiонерам, випускати новi акцiї або продавати активи для зменшення </w:t>
      </w:r>
      <w:r>
        <w:rPr>
          <w:rFonts w:ascii="Times New Roman CYR" w:hAnsi="Times New Roman CYR" w:cs="Times New Roman CYR"/>
          <w:kern w:val="0"/>
        </w:rPr>
        <w:lastRenderedPageBreak/>
        <w:t>суми боргу. Керiвництво Компанiї здiйснює монiторинг структури капiталу шляхом контролю спiввiдношення власних та позикових коштiв.</w:t>
      </w:r>
    </w:p>
    <w:p w14:paraId="796CB1A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9E965C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 джерелом лiквiдностi Компанiї є грошовi кошти, отриманi вiд основної дiяльностi.</w:t>
      </w:r>
    </w:p>
    <w:p w14:paraId="69F21B0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804651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2023 рiк для акцiонерних товариств законодавством України (на пiдставi окремої фiнансової звiтностi Компанiї) встановлено наступнi вимоги щодо капiталу:</w:t>
      </w:r>
    </w:p>
    <w:p w14:paraId="2BA6F30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EC54A6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статутний капiтал на дату реєстрацiї суб'єкта господарювання не може бути нижчим за 1250 мiнiмальних заробiтних плат;</w:t>
      </w:r>
    </w:p>
    <w:p w14:paraId="31C5020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DEAA1F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якщо вартiсть чистих активiв пiдприємства на кiнець другого або кожного наступного фiнансового року в меншою, нiж його статутний капiтал, пiдприємство має зменшити свiй статутний капiтал та внести вiдповiднi змiни до свого Статуту. Якщо вартiсть чистих активiв становить менше, нiж мiнiмальний статутний капiтал, пiдприємство пiдлягає лiквiдацiї.</w:t>
      </w:r>
    </w:p>
    <w:p w14:paraId="5D55B85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C8D891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Керiвництво вважає, що Компанiя вiдповiдає зазначеним вимогам щодо капiталу протягом усiх поданих перiодiв.</w:t>
      </w:r>
    </w:p>
    <w:p w14:paraId="1CD12CF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FB7ECD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Опис полiтики щодо дослiджень та розробок, сума витрат на дослiдження та розробку за звiтний рiк.</w:t>
      </w:r>
    </w:p>
    <w:p w14:paraId="6E066C9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77FDCC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пере</w:t>
      </w:r>
      <w:r>
        <w:rPr>
          <w:rFonts w:ascii="Times New Roman CYR" w:hAnsi="Times New Roman CYR" w:cs="Times New Roman CYR"/>
          <w:kern w:val="0"/>
        </w:rPr>
        <w:t xml:space="preserve">дбачена пунктом 5 не зазначається, якщо законом така iнформацiя визнана iнформацiєю з обмеженим доступом. </w:t>
      </w:r>
    </w:p>
    <w:p w14:paraId="4F46947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1BB6E7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Питаннями дослiджень та iнновацiй для фабрики з виробництва картопляних чiпсiв дочiрнього пiдприємства та для бiсквiтного виробництва Тростянецької фабрики Товариства займається Глобальна команда бiсквiтної категорiї, i для кондитерського виробництва Тростянецької фабрики Товариства Глобальна команда кондитерської категорiї.</w:t>
      </w:r>
    </w:p>
    <w:p w14:paraId="6E89395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168EF2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Глобальнi команди вiдповiдних категорiй забезпечують розвиток торговельних марок, розробку продукцiї, рецептiв, процесiв, правил маркування, контролю якостi, аналiтичних процедур та iншi питання, пов'язанi з дослiдженнями та розробкою продукцiї, що виробляється пiдприємствами Товариства.</w:t>
      </w:r>
    </w:p>
    <w:p w14:paraId="51ACA33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6FF015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Iнформацiя щодо продуктiв (товарiв або послуг) особи: </w:t>
      </w:r>
    </w:p>
    <w:p w14:paraId="5FE48BC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DD32B3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опис продуктiв (товарiв та/або послуг), якi виробляє/надає особа;</w:t>
      </w:r>
    </w:p>
    <w:p w14:paraId="092D68E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E1DEE7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здiйснює дiяльнiсть в Українi вiдповiдно до наступних видiв економiчної дiяльностi:</w:t>
      </w:r>
    </w:p>
    <w:p w14:paraId="4D51F37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BF60AD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Код КВЕД 10.82 - Виробництво какао, шоколаду та цукрових кондитерських виробiв (основний вид дiяльностi);</w:t>
      </w:r>
    </w:p>
    <w:p w14:paraId="090A1E6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43C9EB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Код КВЕД 10.72 - Виробництво сухарiв i сухого печива; виробництво борошняних кондитерських виробiв, тортiв i тiстечок тривалого зберiгання;</w:t>
      </w:r>
    </w:p>
    <w:p w14:paraId="04A1E21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16C7A9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Код КВЕД 46.36 - Оптова торгiвля цукром, шоколадом i кондитерськими виробами;</w:t>
      </w:r>
    </w:p>
    <w:p w14:paraId="49A860C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B949AC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Код КВЕД 46.38 - Оптова торгiвля iншими продуктами харчування, у тому числi рибою, ракоподiбними та молюсками.</w:t>
      </w:r>
    </w:p>
    <w:p w14:paraId="6F03069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2205BB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Основна дiяльнiсть Товариства полягає у виробництвi снекiв (шоколаду, печива, бiсквiтiв, жувальної гумки та льодяникiв). Товариство здiйснює дистрибуцiю як власних продуктiв, так продуктiв, </w:t>
      </w:r>
      <w:r>
        <w:rPr>
          <w:rFonts w:ascii="Times New Roman CYR" w:hAnsi="Times New Roman CYR" w:cs="Times New Roman CYR"/>
          <w:kern w:val="0"/>
        </w:rPr>
        <w:lastRenderedPageBreak/>
        <w:t xml:space="preserve">вироблених iншими компанiями глобальної Mondelz International, на ринку України. </w:t>
      </w:r>
    </w:p>
    <w:p w14:paraId="0E6C6B2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0579CE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Також Компанiя експортує деякi продукти, виробленi як в Українi (на Тростянецькiй кондитерськiй фабрицi та Вишгородський чипсовiй), так i за кордоном.</w:t>
      </w:r>
    </w:p>
    <w:p w14:paraId="6C2BD6D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8DDA62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обсяги виробництва (у натуральному та грошовому виразi);</w:t>
      </w:r>
    </w:p>
    <w:p w14:paraId="1A3B50D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0988CC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11 473 т на 3 004 890 тис. грн</w:t>
      </w:r>
    </w:p>
    <w:p w14:paraId="275CF41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40C51A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середньореалiзацiйнi цiни продуктiв;</w:t>
      </w:r>
    </w:p>
    <w:p w14:paraId="57A5117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29CCD7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здiйснює виробництво та реалiзацiю декiлькох категорiй продукцiї, якi вiдрiзняються за асортиментом, споживчими характеристиками та цiновими сегментами. З огляду на суттєву диференцiацiю товарних позицiй, визначення узагальненого показника середньореалiзацiйної цiни не є методологiчно коректним та не вiдображатиме реальної структури продажiв.</w:t>
      </w:r>
    </w:p>
    <w:p w14:paraId="04840F8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9545CB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Крiм того, Товариство не здiйснює облiк та розрахунок середньореалiзацiйних цiн як окремого аналiтичного показника.</w:t>
      </w:r>
    </w:p>
    <w:p w14:paraId="1476054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EB4D64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4A8DFE3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45E97A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Кондитерськi вироби </w:t>
      </w:r>
      <w:r>
        <w:rPr>
          <w:rFonts w:ascii="Times New Roman CYR" w:hAnsi="Times New Roman CYR" w:cs="Times New Roman CYR"/>
          <w:kern w:val="0"/>
        </w:rPr>
        <w:tab/>
        <w:t>2 945 418 тис.грн.</w:t>
      </w:r>
    </w:p>
    <w:p w14:paraId="7BED2F1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535945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Солонi закуски </w:t>
      </w:r>
      <w:r>
        <w:rPr>
          <w:rFonts w:ascii="Times New Roman CYR" w:hAnsi="Times New Roman CYR" w:cs="Times New Roman CYR"/>
          <w:kern w:val="0"/>
        </w:rPr>
        <w:tab/>
        <w:t>1 405 328 тис.грн.</w:t>
      </w:r>
    </w:p>
    <w:p w14:paraId="0388FD5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96ABDE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Печиво </w:t>
      </w:r>
      <w:r>
        <w:rPr>
          <w:rFonts w:ascii="Times New Roman CYR" w:hAnsi="Times New Roman CYR" w:cs="Times New Roman CYR"/>
          <w:kern w:val="0"/>
        </w:rPr>
        <w:tab/>
        <w:t>1259 287 тис.грн.</w:t>
      </w:r>
    </w:p>
    <w:p w14:paraId="4F03361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93E993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Жувальна гумка </w:t>
      </w:r>
      <w:r>
        <w:rPr>
          <w:rFonts w:ascii="Times New Roman CYR" w:hAnsi="Times New Roman CYR" w:cs="Times New Roman CYR"/>
          <w:kern w:val="0"/>
        </w:rPr>
        <w:tab/>
        <w:t>313 227 тис.грн.</w:t>
      </w:r>
    </w:p>
    <w:p w14:paraId="0187FDA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91A345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Какао-продукцiя </w:t>
      </w:r>
      <w:r>
        <w:rPr>
          <w:rFonts w:ascii="Times New Roman CYR" w:hAnsi="Times New Roman CYR" w:cs="Times New Roman CYR"/>
          <w:kern w:val="0"/>
        </w:rPr>
        <w:tab/>
        <w:t>94 367 тис.грн.</w:t>
      </w:r>
    </w:p>
    <w:p w14:paraId="5D56336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EFE3D1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Всього доходу: </w:t>
      </w:r>
      <w:r>
        <w:rPr>
          <w:rFonts w:ascii="Times New Roman CYR" w:hAnsi="Times New Roman CYR" w:cs="Times New Roman CYR"/>
          <w:kern w:val="0"/>
        </w:rPr>
        <w:tab/>
        <w:t>6 017 627 тис.грн.</w:t>
      </w:r>
    </w:p>
    <w:p w14:paraId="0A7AC3A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2B0696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w:t>
      </w:r>
      <w:r>
        <w:rPr>
          <w:rFonts w:ascii="Times New Roman CYR" w:hAnsi="Times New Roman CYR" w:cs="Times New Roman CYR"/>
          <w:kern w:val="0"/>
        </w:rPr>
        <w:tab/>
        <w:t>загальна сума експорту, частка експорту в загальному обсязi продажiв;</w:t>
      </w:r>
    </w:p>
    <w:p w14:paraId="64C98EA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37299E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Реалiзацiя на експорт  </w:t>
      </w:r>
      <w:r>
        <w:rPr>
          <w:rFonts w:ascii="Times New Roman CYR" w:hAnsi="Times New Roman CYR" w:cs="Times New Roman CYR"/>
          <w:kern w:val="0"/>
        </w:rPr>
        <w:tab/>
        <w:t>1 308 693 тис.грн.</w:t>
      </w:r>
    </w:p>
    <w:p w14:paraId="7E85EDD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302CF5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 саме: </w:t>
      </w:r>
      <w:r>
        <w:rPr>
          <w:rFonts w:ascii="Times New Roman CYR" w:hAnsi="Times New Roman CYR" w:cs="Times New Roman CYR"/>
          <w:kern w:val="0"/>
        </w:rPr>
        <w:tab/>
        <w:t xml:space="preserve"> </w:t>
      </w:r>
    </w:p>
    <w:p w14:paraId="4DD8FBE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84552F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Казахстан </w:t>
      </w:r>
      <w:r>
        <w:rPr>
          <w:rFonts w:ascii="Times New Roman CYR" w:hAnsi="Times New Roman CYR" w:cs="Times New Roman CYR"/>
          <w:kern w:val="0"/>
        </w:rPr>
        <w:tab/>
        <w:t>490 474 тис.грн.</w:t>
      </w:r>
    </w:p>
    <w:p w14:paraId="368BC8F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BA93DF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Молдова </w:t>
      </w:r>
      <w:r>
        <w:rPr>
          <w:rFonts w:ascii="Times New Roman CYR" w:hAnsi="Times New Roman CYR" w:cs="Times New Roman CYR"/>
          <w:kern w:val="0"/>
        </w:rPr>
        <w:tab/>
        <w:t>263 881 тис.грн.</w:t>
      </w:r>
    </w:p>
    <w:p w14:paraId="16B9FF5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885C70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Грузiя </w:t>
      </w:r>
      <w:r>
        <w:rPr>
          <w:rFonts w:ascii="Times New Roman CYR" w:hAnsi="Times New Roman CYR" w:cs="Times New Roman CYR"/>
          <w:kern w:val="0"/>
        </w:rPr>
        <w:tab/>
        <w:t>175 018 тис.грн.</w:t>
      </w:r>
    </w:p>
    <w:p w14:paraId="3F31659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513D42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Швейцарiя </w:t>
      </w:r>
      <w:r>
        <w:rPr>
          <w:rFonts w:ascii="Times New Roman CYR" w:hAnsi="Times New Roman CYR" w:cs="Times New Roman CYR"/>
          <w:kern w:val="0"/>
        </w:rPr>
        <w:tab/>
        <w:t>173 876 тис.грн.</w:t>
      </w:r>
    </w:p>
    <w:p w14:paraId="44BDFA9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7441FD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Азербайджан </w:t>
      </w:r>
      <w:r>
        <w:rPr>
          <w:rFonts w:ascii="Times New Roman CYR" w:hAnsi="Times New Roman CYR" w:cs="Times New Roman CYR"/>
          <w:kern w:val="0"/>
        </w:rPr>
        <w:tab/>
        <w:t>134 632 тис.грн.</w:t>
      </w:r>
    </w:p>
    <w:p w14:paraId="1B866DE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F32CE8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Росiйська Федерацiя </w:t>
      </w:r>
      <w:r>
        <w:rPr>
          <w:rFonts w:ascii="Times New Roman CYR" w:hAnsi="Times New Roman CYR" w:cs="Times New Roman CYR"/>
          <w:kern w:val="0"/>
        </w:rPr>
        <w:tab/>
        <w:t xml:space="preserve">- </w:t>
      </w:r>
    </w:p>
    <w:p w14:paraId="2B29A67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7E447D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Бiлорусь </w:t>
      </w:r>
      <w:r>
        <w:rPr>
          <w:rFonts w:ascii="Times New Roman CYR" w:hAnsi="Times New Roman CYR" w:cs="Times New Roman CYR"/>
          <w:kern w:val="0"/>
        </w:rPr>
        <w:tab/>
        <w:t xml:space="preserve">- </w:t>
      </w:r>
    </w:p>
    <w:p w14:paraId="0BA52C2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A9B58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Iншi країни </w:t>
      </w:r>
      <w:r>
        <w:rPr>
          <w:rFonts w:ascii="Times New Roman CYR" w:hAnsi="Times New Roman CYR" w:cs="Times New Roman CYR"/>
          <w:kern w:val="0"/>
        </w:rPr>
        <w:tab/>
        <w:t>70 812 тис.грн.</w:t>
      </w:r>
    </w:p>
    <w:p w14:paraId="14ADE75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E8FC2A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Реалiзацiя на внутрiшньому ринку </w:t>
      </w:r>
      <w:r>
        <w:rPr>
          <w:rFonts w:ascii="Times New Roman CYR" w:hAnsi="Times New Roman CYR" w:cs="Times New Roman CYR"/>
          <w:kern w:val="0"/>
        </w:rPr>
        <w:tab/>
        <w:t>4 708 934 тис.грн.</w:t>
      </w:r>
    </w:p>
    <w:p w14:paraId="1C2B4B4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3F4792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Всього доходу </w:t>
      </w:r>
      <w:r>
        <w:rPr>
          <w:rFonts w:ascii="Times New Roman CYR" w:hAnsi="Times New Roman CYR" w:cs="Times New Roman CYR"/>
          <w:kern w:val="0"/>
        </w:rPr>
        <w:tab/>
        <w:t>6 017 627 тис.грн.</w:t>
      </w:r>
    </w:p>
    <w:p w14:paraId="14D89F2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55DF6F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залежнiсть вiд сезонних змiн;</w:t>
      </w:r>
    </w:p>
    <w:p w14:paraId="10D8B8E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53B295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цiлому дiяльнiсть Компанiї не залежить вiд сезонностi. Проте, сезон має певний вплив на продаж шоколаду: влiтку обсяги продажу шоколаду дещо знижуються, а у перiод новорiчних свят - навпаки зростають. </w:t>
      </w:r>
    </w:p>
    <w:p w14:paraId="29AE1F9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7FE98A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основнi клiєнти (бiльше 5 % у загальнiй сумi виручки);</w:t>
      </w:r>
    </w:p>
    <w:p w14:paraId="1D34273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4D191A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клiєнтами є дистриб'ютори, великi нацiональнi та мiжнароднi торговельнi мережi, що здiйснюють свою дiяльнiсть в Українi, та компанiї групи Mondelez International.</w:t>
      </w:r>
    </w:p>
    <w:p w14:paraId="26CD3BE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A8032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ринки збуту та країни, в яких особою здiйснюється дiяльнiсть;</w:t>
      </w:r>
    </w:p>
    <w:p w14:paraId="132CEEC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DD0361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Реалiзацiя на внутрiшньому ринку та на експорт до наступних країн: Молдова , Швейцарiя , Грузiя , Казахстан, Азербайджан, iншi країни.</w:t>
      </w:r>
    </w:p>
    <w:p w14:paraId="77B89B6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02E7FF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канали збуту;</w:t>
      </w:r>
    </w:p>
    <w:p w14:paraId="12F097A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2F5ADF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реалiзує свою продукцiю в Українi мiсцевим дистриб'юторам та ключовим клiєнтам (великим українським роздрiбним мережам), а також проводить експортнi операцiї до багатьох країн свiту. Товариство здiйснює продаж продукцiї в Українi пiд наступними брендами: Ведмедик "БАРНI", Belvita, "Корона", "Люкс", Milka, Oreo, Tuc, Dirol, Halls, 7 Days, Chipicao. </w:t>
      </w:r>
    </w:p>
    <w:p w14:paraId="1620BB7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0C4167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10) основнi постачальники та види товарiв та/або послуг, якi вони постачають/надають особi, країни з яких здiйснюється постачання/надання товарiв/послуг;</w:t>
      </w:r>
    </w:p>
    <w:p w14:paraId="7D9E144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47D44E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спiвпрацює з рiзними постачальниками як товарiв, так i послуг, проте основними постачальниками є постачальники сировини та пакування для виробництва продукцiї, а також компанiї групи Mondelez International, у яких Товариство купує товари для продажу в Українi. </w:t>
      </w:r>
    </w:p>
    <w:p w14:paraId="44C95E8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C3D6B7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особливостi стану розвитку галузi, в якiй здiйснює дiяльнiсть особа;</w:t>
      </w:r>
    </w:p>
    <w:p w14:paraId="5B50941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D4D0FF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оперує на висококонкурентному ринку снекiв в категорiях кондитерських виробiв, печива, чипсiв, жувальної гумки та льодяникiв. В дiяльностi Компанiя використовує данi щодо ринкiв кондитерських виробiв, печива, солоних снекiв i жувальної гумки (за даними Євромонiтор).</w:t>
      </w:r>
    </w:p>
    <w:p w14:paraId="50695A2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4B38C1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Ринок печива (паковане i не паковане) в Українi зростав протягом останнiх рокiв i продовжив зростання в 2023 роцi. Ринок печива, на якому оперує Компанiя, складається з сегментiв солодкого печива, солоних крекерiв та бiсквiтних тiстечок. "Монделiс Україна" має високий рiвень дистрибуцiї в усiх сегментах пакованого печива та каналах сучасної та традицiйної торгiвлi за рахунок розгалуженої мережi дистрибуторiв та спiвпрацi з найбiльшими мережами.</w:t>
      </w:r>
    </w:p>
    <w:p w14:paraId="2711271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816738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Ринок шоколадних виробiв в Українi стрiмко зростав до 2021 року включно, i вiдновив зростання в 2023 роцi. Ринок пакованих шоколадних виробiв, на якому оперує Компанiя, складається з сегментiв плиткового шоколаду, коробкових цукерок, шоколадних батончикiв та фiгурних виробiв. "Монделiс Україна" має високий рiвень дистрибуцiї в усiх сегментах пакованих кондитерських виробiв та каналах сучасної та традицiйної торгiвлi за рахунок розгалуженої мережi дистрибуторiв та спiвпрацi з </w:t>
      </w:r>
      <w:r>
        <w:rPr>
          <w:rFonts w:ascii="Times New Roman CYR" w:hAnsi="Times New Roman CYR" w:cs="Times New Roman CYR"/>
          <w:kern w:val="0"/>
        </w:rPr>
        <w:lastRenderedPageBreak/>
        <w:t>найбiльшими мережами.</w:t>
      </w:r>
    </w:p>
    <w:p w14:paraId="705BD74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E5E2C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Ринок солоних снекiв в Українi стрiмко зростав до 2021 року включно, i вiдновив зростання в 2023 роцi. Ринок картопляних чипсiв є менш висококонкурентним в порiвнянi з iншими ринками, де оперує "Монделiс Україна". Монделiс Україна має високий рiвень дистрибуцiї в каналах сучасної та традицiйної торгiвлi за рахунок розгалуженої мережi дистрибуторiв та спiвпрацi з найбiльшими мережами. Ринок жувальної гумки в Українi стрiмко зростав до 2021 року включно, i вiдновив зростання в 2023 роцi. </w:t>
      </w:r>
    </w:p>
    <w:p w14:paraId="4DECCA9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0240F2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опис технологiй, якi використовує особа у своїй дiяльностi;</w:t>
      </w:r>
    </w:p>
    <w:p w14:paraId="5266AD1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80AA48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Фабрика є кондитерським пiдприємством повного циклу, яке застосовує комплекс взаємопов'язаних технологiй: пiдготовку технологiчної води та пари для всiх стадiй виробництва, повний цикл переробки какао-бобiв, а також технологiї для приготування шоколадних мас рiзних рецептур iз використанням змiшувального, коншувального та темперувального обладнання. </w:t>
      </w:r>
    </w:p>
    <w:p w14:paraId="5B573E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D1474D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виробництвi бiсквiтної продукцiї фабрика використовує технологiї автоматизованого приймання, зважування та контролю сировини, точного дозування iнгредiєнтiв, механiзованого замiшування тiста за рiзними рецептурами, формування заготовок формувальними машинами та екструдерами, безперервного випiкання в тунельних печах iз контрольованими параметрами, стадiйного охолодження, нанесення начинок i декорування на вiдповiдних лiнiях. </w:t>
      </w:r>
    </w:p>
    <w:p w14:paraId="54D4196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7E04DF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всiх етапах впроваджено високотехнологiчний лабораторний контроль (фiзико-хiмiчнi, органолептичнi, за потреби мiкробiологiчнi випробування) як сировини, так i готової продукцiї.  При цьому бiльшiсть виробничих лiнiй, засобiв лабораторного контролю i iнфраструктурного обладнання виготовленi провiдними iноземними виробниками, що забезпечує високий рiвень автоматизацiї та стабiльнiсть технологiчних параметрiв.</w:t>
      </w:r>
    </w:p>
    <w:p w14:paraId="231B5DF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BEF80E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мiсце особи на ринку, на якому вона здiйснює дiяльнiсть;</w:t>
      </w:r>
    </w:p>
    <w:p w14:paraId="5E31DB8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9C0161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Монделiс Україна має високий рiвень дистрибуцiї в каналах сучасної та традицiйної торгiвлi за рахунок розгалуженої мережi дистрибуторiв та спiвпрацi з найбiльшими мережами.</w:t>
      </w:r>
    </w:p>
    <w:p w14:paraId="191BA1A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41674B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рiвень конкуренцiя в галузi, основнi конкуренти особи;</w:t>
      </w:r>
    </w:p>
    <w:p w14:paraId="7C87740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37B268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конкурентами в бiсквiтiв є Рошен, Контi, Ярич та приватнi торговi марки. Найбiльш конкурентним є сегмент солодкого печива, в той час як в крекерах та тiстечках оперує 2-3 великих гравцi. Основними конкурентами в шоколадi є Рошен, Мастерфудс, Ферреро, Мiлленiум та Нестле. Найбiльш конкурентним є сегмент плитки, в той час як в коробках та батончиках основну долю займають 2-3 великих гравцi. Основними конкурентами в картопляних чипсах є Pepsi Cо з брендом Lays та приватнi торговi марки. Основним конк</w:t>
      </w:r>
      <w:r>
        <w:rPr>
          <w:rFonts w:ascii="Times New Roman CYR" w:hAnsi="Times New Roman CYR" w:cs="Times New Roman CYR"/>
          <w:kern w:val="0"/>
        </w:rPr>
        <w:t>урентом виступає бренд Orbit компанiї Mars Foods, ринок є менш висококонкурентним в порiвнянi з iншими ринками, де оперує "Монделiс Україна".</w:t>
      </w:r>
    </w:p>
    <w:p w14:paraId="5682F2B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8A674A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перспективнi плани розвитку особи;</w:t>
      </w:r>
    </w:p>
    <w:p w14:paraId="24D6158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40443B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Питаннями стратегiчних перспектив розвитку Компанiї та дочiрнього пiдприємства Компанiї займається Регiональна команда бiсквiтної категорiї ( для фабрики з виробництва картопляних чiпсiв дочiрнього пiдприємства та для бiсквiтного виробництва Тростянецької фабрики Компанiї) та Регiональна команда кондитерської категорiї ( для кондитерського виробництва Тростянецької фабрики Компанiї). Впровадженням стратегiї здiйснюється вiдповiдними пiдроздiлами як на регiональному так i на локальному рiвнях у вiдповiдностi</w:t>
      </w:r>
      <w:r>
        <w:rPr>
          <w:rFonts w:ascii="Times New Roman CYR" w:hAnsi="Times New Roman CYR" w:cs="Times New Roman CYR"/>
          <w:kern w:val="0"/>
        </w:rPr>
        <w:t xml:space="preserve"> до повноважень та отриманих iнвестицiй, затверджених на регiональному рiвнi. Компанiя планує i далi iнвестувати в розширення потужностей виробництва, запуски нових продуктiв, покращення умов працi та якостi продукцiї.</w:t>
      </w:r>
    </w:p>
    <w:p w14:paraId="72A5B5D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A3ED3F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планує стратегiчний розвиток за двома напрямками :</w:t>
      </w:r>
    </w:p>
    <w:p w14:paraId="3755E41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51B7BB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внутрiшнiй, який полягає у постiйному покращеннi показникiв ефективностi виробництва шляхом побудови самодостатнiх команд спiвробiтникiв на виробництвi через вдосконалення навичок та за рахунок розвитку внутрiшнього потенцiалу; </w:t>
      </w:r>
    </w:p>
    <w:p w14:paraId="3A666BB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63ED03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зовнiшнiй, який полягає у спiвпрацi з постачальниками сировини та пакування з питань </w:t>
      </w:r>
    </w:p>
    <w:p w14:paraId="32C61F6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5AE807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впровадження мiжнародних стандартiв якостi на їх виробництвi. </w:t>
      </w:r>
    </w:p>
    <w:p w14:paraId="42831FD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B6A117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Починаючи з сiчня 2014 року в Компанiї впроваджується культура Iнтегрованого Бережливого виробництва 6 Сигм - культура спiвробiтникiв: "думати, планувати та дiяти як власники обладнання та робочих процесiв". Ця нова концепцiя базується на усуненнi всiх видiв втрат та дефектiв, передбачає залученiсть до процесiв оптимiзацiї кожного спiвробiтника Компанiї. </w:t>
      </w:r>
    </w:p>
    <w:p w14:paraId="6F2CD43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5D59DC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Опис ризикiв, як притаманнi дiяльностi особи, пiдходи до управлiння ризиками, заходи особи щодо зменшення впливу ризикiв.</w:t>
      </w:r>
    </w:p>
    <w:p w14:paraId="0F13329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E87928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Фiнансовi ризики. Функцiя управлiння ризиками в Компанiї включає в себе управлiння фiнансовими ризиками, а також операцiйними та юридичними ризиками. Фiнансовi ризики складаються з ринкового ризику (який включає валютний ризик та iнший цiновий ризик), кредитного ризику та ризику лiквiдностi. Основними цiлями управлiння фiнансовими ризиками є мiнiмiзацiя пов'язаних iз ними втрат, що досягається за рахунок постiйного монiторингу, визначення лiмiтiв ризику й нагляду за тим, щоб цi лiмiти не перевищувалися. Уп</w:t>
      </w:r>
      <w:r>
        <w:rPr>
          <w:rFonts w:ascii="Times New Roman CYR" w:hAnsi="Times New Roman CYR" w:cs="Times New Roman CYR"/>
          <w:kern w:val="0"/>
        </w:rPr>
        <w:t>равлiння операцiйними та юридичними ризиками має на метi забезпечення належного функцiонування внутрiшнiх процедур та полiтики, що спрямованi на мiнiмiзацiю цих ризикiв.</w:t>
      </w:r>
    </w:p>
    <w:p w14:paraId="620D4B8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317C8C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Управлiння ризиками здiйснює керiвництво на основi загальних принципiв управлiння фiнансовими ризиками, а також процедур, що охоплюють окремi ризики, такi як валютний ризик, ризик процентної ставки, кредитний ризик та iнвестування надлишкової лiквiдностi.</w:t>
      </w:r>
    </w:p>
    <w:p w14:paraId="327E0D0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8C688C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Кредитний ризик. Компанiя наражається на кредитний ризик, який виникає тодi, коли одна сторона фiнансового iнструменту спричинить фiнансовi збитки другiй сторонi внаслiдок невиконання взятих на себе зобов'язань. Кредитний ризик виникає в результатi реалiзацiї Компанiєю продукцiї на кредитних умовах та iнших операцiй з контрагентами, внаслiдок яких виникають фiнансовi активи. Для оцiнки кредитного ризику та класифiкацiї фiнансових iнструментiв за сумою кредитного ризику Компанiя використовує два пiдходи:</w:t>
      </w:r>
    </w:p>
    <w:p w14:paraId="63792B5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A801FD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внутрiшня система рейтингiв на основi ризикiв або оцiнка категорiй ризику зовнiшнiм мiжнародним рейтинговим агентством Fitch.</w:t>
      </w:r>
    </w:p>
    <w:p w14:paraId="60524B4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01ECA4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Ринковий ризик. Компанiя наражається на ринковi ризики. Ринковi ризики пов'язанi з вiдкритими позицiями за iноземними валютами, а також процентними активами i зобов'язаннями. </w:t>
      </w:r>
    </w:p>
    <w:p w14:paraId="48428CF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C278A2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Керiвництво встановлює лiмiти сум ризику, що може бути прийнятий Компанiєю, дотримання яких контролюється щоденно. Проте застосування такого пiдходу не запобiгає виникненню збиткiв за межами цих лiмiтiв у випадку бiльш суттєвих ринкових змiн.</w:t>
      </w:r>
    </w:p>
    <w:p w14:paraId="53EC7FA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2EA9A1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Валютний ризик. Валютний ризик для Компанiї пов'язаний з монетарними активами та зобов'язаннями, деномiнованими в iноземних валютах, а також iз загальною нестабiльною ситуацiєю на валютних ринках. Такий ризик виникає у результатi закупiвель, якi здiйснюються Компанiєю у валютах, вiдмiнних вiд її функцiональної валюти. Керiвництво впровадило полiтику, згiдно з якою Компанiя повинна </w:t>
      </w:r>
      <w:r>
        <w:rPr>
          <w:rFonts w:ascii="Times New Roman CYR" w:hAnsi="Times New Roman CYR" w:cs="Times New Roman CYR"/>
          <w:kern w:val="0"/>
        </w:rPr>
        <w:lastRenderedPageBreak/>
        <w:t>управляти валютним ризиком стосовно валют, що вiдрiзняються вiд її функцiональної валюти. Керiвництво встановлює рiвень прийнятного ризику окремо по кожнiй валютi та сукупний рiвень ризику.</w:t>
      </w:r>
    </w:p>
    <w:p w14:paraId="6D271FF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101B02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Ризик процентної ставки. Компанiя наражається на ризик у зв'язку з впливом коливань домiнуючих рiвнiв ринкової процентної ставки на її фiнансовий стан та грошовi потоки. </w:t>
      </w:r>
    </w:p>
    <w:p w14:paraId="08D094C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4E8556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Керiвництво Компанiї встановлює лiмiти прийнятного рiвня невiдповiдностi процентних ставок та здiйснює щоденний контроль за дотриманням встановлених лiмiтiв. На поточний момент Керiвництво Компанiї оцiнює ризик змiни вiдсоткової ставки як несуттєвий.</w:t>
      </w:r>
    </w:p>
    <w:p w14:paraId="2020683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64A069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Вплив коронавiруса (COVID-19). В першi мiсяцi 2020 року коронавiрус (COVID-19) поширився по всьому свiту, i його негативний вплив посилився. Хоча на дату випуску цiєї бухгалтерської звiтностi ситуацiя все ще розвивається, до теперiшнього моменту вiдсутнiй вiдчутний вплив коронавiрусу (COVID-19) на безперервнiсть дiяльностi Компанiї. </w:t>
      </w:r>
    </w:p>
    <w:p w14:paraId="30EC23E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E2931B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здiйснює свою дiяльнiсть в Українi, в якiй продовжується повномасштабна вiйна Росiйською Федерацiєю та дiє правовий режим воєнного стану. Впродовж 2023 року економiка вiдновлювалася завдяки високiй адаптивностi бiзнесу та населення до умов вiйни та м'якiй фiскальнiй полiтицi, що пiдтримувалася масштабним мiжнародним фiнансуванням. ВВП у 2023 роцi за оцiнками НБУ зросло на 5,7% (пiсля падiння на 30,3% у 2022 роцi). За прогнозами, незважаючи на вiйну, поступове економiчне вiдновлення продовжуватиметь</w:t>
      </w:r>
      <w:r>
        <w:rPr>
          <w:rFonts w:ascii="Times New Roman CYR" w:hAnsi="Times New Roman CYR" w:cs="Times New Roman CYR"/>
          <w:kern w:val="0"/>
        </w:rPr>
        <w:t>ся. Зокрема, у 2024 роцi реальний ВВП може зрости на 3,6%, передусiм завдяки збереженню високих бюджетних витрат на тлi надходження очiкуваних обсягiв мiжнародної допомоги на достатньому рiвнi.</w:t>
      </w:r>
    </w:p>
    <w:p w14:paraId="3D656EE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75BA47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Однак, продовження активної фази вiйни матиме безпосереднiй вплив на економiку України. </w:t>
      </w:r>
    </w:p>
    <w:p w14:paraId="11C2988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161EDD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Таким чином, ризики для економiки, як i потреби в мiжнароднiй допомозi, залишаються суттєвими. Основним припущенням є вiдчутне зниження високих безпекових ризикiв iз 2025року. Довше збереження високих безпекових ризикiв негативно впливатиме на дiловi та споживчi настрої, курсовi та iнфляцiйнi очiкування. Це також посилюватиме тиск на державнi фiнанси та поглиблюватиме проблеми на ринку працi. За такого сценарiю потенцiал економiчного зростання буде меншим, а iнфляцiйний тиск - вищим, нiж очiкується зараз.</w:t>
      </w:r>
    </w:p>
    <w:p w14:paraId="54EF6FC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09F471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14:paraId="7977CAA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3A6151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Стратегiя ПрАТ "Монделiс Україна" спрямована на збереження операцiйної дiяльностi в умовах значної невизначеностi, спричиненої вiйськовою агресiєю. Вона базується на забезпеченнi безперервностi виробництва, фiнансової стабiльностi та використаннi експортних можливостей.</w:t>
      </w:r>
    </w:p>
    <w:p w14:paraId="158460E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285A12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Стратегiчнi напрямки:</w:t>
      </w:r>
    </w:p>
    <w:p w14:paraId="2B845A5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F89A6A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Виробництво: Нарощування виробництва продукцiї на Тростянецькiй шоколаднiй фабрицi для задоволення як внутрiшнього попиту, так i розширення експорту. В оптимiстичному сценарiї передбачається вiдновлення iнфраструктури.</w:t>
      </w:r>
    </w:p>
    <w:p w14:paraId="2ECB044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D6ECBD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Фiнансовий стан: Залучення кредитiв та позик для пiдтримки лiквiдностi та оборотного капiталу. Ключовою є пiдтримка з боку материнської компанiї Mondeliz International, яка зацiкавлена в стабiльнiй роботi та готова надавати допомогу.</w:t>
      </w:r>
    </w:p>
    <w:p w14:paraId="5E8EC09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58001C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Iстотнi фактори впливу:</w:t>
      </w:r>
    </w:p>
    <w:p w14:paraId="3AD118B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2AE142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Головним фактором невизначеностi є розвиток вiйськової агресiї (тривалiсть, iнтенсивнiсть, географiчнi змiни). Керiвництво розглядає три сценарiї:</w:t>
      </w:r>
    </w:p>
    <w:p w14:paraId="6B46DBD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86C237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Базовий: Вiйськова агресiя триває без суттєвих змiн територiй та iнтенсивного повернення населення. Зберiгається можливiсть експорту.</w:t>
      </w:r>
    </w:p>
    <w:p w14:paraId="0798854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13E163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Оптимiстичний: Агресiя закiнчується, Україна повертає територiї, населення активно повертається, споживання зростає до довоєнного рiвня, покращується логiстика та експорт.</w:t>
      </w:r>
    </w:p>
    <w:p w14:paraId="45E6130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67469A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Негативний (малоймовiрний): Значна ескалацiя бойових дiй, суттєве скорочення мiжнародної пiдтримки, вiдтiк робочої сили.</w:t>
      </w:r>
    </w:p>
    <w:p w14:paraId="5B0611D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2E8689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Додатковi важливi фактори включають: демографiчнi змiни (повернення населення), мiжнародна пiдтримка України, економiчнi показники (iнфляцiя, курси валют, платоспроможнiсть ринку) та можливостi логiстики для експорту.</w:t>
      </w:r>
    </w:p>
    <w:p w14:paraId="790019E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3EE989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Незважаючи на значну невизначенiсть, керiвництво ПрАТ "Монделiс Україна" вживає заходiв для мiнiмiзацiї ризикiв та вважає припущення про безперервнiсть дiяльностi обгрунтованим, завдяки власному управлiнню та пiдтримцi Mondeliz International.</w:t>
      </w:r>
    </w:p>
    <w:p w14:paraId="4360EBC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84285C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14:paraId="2B13755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48883A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Загалом, основними придбаннями Компанiї є модернiзацiя виробничого обладнання рiзного профiлю, спрямована на пiдвищення ефективностi та якостi (в т.ч. проведення ремонтiв). В 2023 роцi було здiйснено придбання когенерацiйної установки, що свiдчить про iнвестицiї в енергоефективнiсть та стабiльнiсть виробництва. Значних вiдчужень активiв за останнi п'ять рокiв не було. В 2023 роцi було залучено до статутного капiталу дочiрньої компанiї Товариства - ТОВ "ЧIПСИ ЛЮКС" - додаткового вкладу Товариства у виглядi </w:t>
      </w:r>
      <w:r>
        <w:rPr>
          <w:rFonts w:ascii="Times New Roman CYR" w:hAnsi="Times New Roman CYR" w:cs="Times New Roman CYR"/>
          <w:kern w:val="0"/>
        </w:rPr>
        <w:t xml:space="preserve">грошового внеску, що є iнвестицiєю Товариства в дочiрню компанiю. </w:t>
      </w:r>
    </w:p>
    <w:p w14:paraId="242FBF1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6C1AC6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w:t>
      </w:r>
    </w:p>
    <w:p w14:paraId="5EFF618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64D52C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 Виробничi потужностi Компанiї розташованi у Сумськiй областi.</w:t>
      </w:r>
    </w:p>
    <w:p w14:paraId="5F6D9B3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AE8A80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Юридична адреса та мiсце здiйснення дiяльностi: вул. Набережна 28А, м. Тростянець, Сумська область, Україна.</w:t>
      </w:r>
    </w:p>
    <w:p w14:paraId="1A82277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E302EA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Пiдприємство повнiстю забезпечено власними основними засобами (ОЗ), включно з орендованими об'єктами (автомобiлi), якi облiковуються належним чином. Значних правочинiв з ОЗ, що виходять за рамки звичайної господарської дiяльностi, окремими договорами не проводилося.</w:t>
      </w:r>
    </w:p>
    <w:p w14:paraId="6979DE1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34AA92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складi основних засобiв, що облiковуються на рахунку 103 "Будiвлi та споруди", видiлено:</w:t>
      </w:r>
    </w:p>
    <w:p w14:paraId="6248BE0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BAEB92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Виробничi будiвлi та споруди</w:t>
      </w:r>
    </w:p>
    <w:p w14:paraId="19012CB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D1E0AE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Адмiнiстративна будiвля</w:t>
      </w:r>
    </w:p>
    <w:p w14:paraId="64951B4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743769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Iнженернi мережi та комунiкацiї</w:t>
      </w:r>
    </w:p>
    <w:p w14:paraId="0228460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E12907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Складськi будiвлi</w:t>
      </w:r>
    </w:p>
    <w:p w14:paraId="093C377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62896B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Благоустрiй територiї</w:t>
      </w:r>
    </w:p>
    <w:p w14:paraId="3E2BA79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BC8A73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Всi зазначенi об'єкти нерухомостi знаходяться на правi власностi Товариства.</w:t>
      </w:r>
    </w:p>
    <w:p w14:paraId="4BC3C9A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11B583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Виробничi об'єкти згiдно генерального плану:</w:t>
      </w:r>
    </w:p>
    <w:p w14:paraId="011331D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86A9C2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Головний виробничий корпус</w:t>
      </w:r>
    </w:p>
    <w:p w14:paraId="0CF568B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DBF5D5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Корпус пакування кави</w:t>
      </w:r>
    </w:p>
    <w:p w14:paraId="716DC90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1BC5B7E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Блок складiв</w:t>
      </w:r>
    </w:p>
    <w:p w14:paraId="0B2D192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C298BE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АПК ГВК</w:t>
      </w:r>
    </w:p>
    <w:p w14:paraId="40EA293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23BF13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Енергоблок</w:t>
      </w:r>
    </w:p>
    <w:p w14:paraId="00A14A0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6A0FAC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Блок допомiжних примiщень</w:t>
      </w:r>
    </w:p>
    <w:p w14:paraId="28C18C2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42A434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Корпус печива</w:t>
      </w:r>
    </w:p>
    <w:p w14:paraId="0464D55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B59217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Пiдприємство має зареєстрованi виробничi потужностi, їх внесено до реєстру Держпродспоживслужби пiд номером r-UA-18-16-214. Рiвень завантаження виробничих лiнiй залежить вiд розмiщених замовлень, проте детальна статистика щодо ступеня використання обладнання наразi не ведеться.</w:t>
      </w:r>
    </w:p>
    <w:p w14:paraId="1565377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70E497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на постiйнiй основi здiйснює витрати капiтального характеру, спрямованi на модернiзацiю власних основних засобiв з метою пiдвищення їхнiх потужностей та отримання економiчних вигод. Особливо значним проектом є вiдбудова бiсквiтного цеху, яка триває з 2022 року.</w:t>
      </w:r>
    </w:p>
    <w:p w14:paraId="2A24532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E962C7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Виробничi процеси Компанiї ПрАТ "Монделiс Україна" вiдповiдають мiжнародним практикам у сферi сталого розвитку, а система екологiчного менеджменту, створена на пiдприємствi, забезпечує системний пiдхiд до процесу монiторингу впливiв на наколишнє середовище.</w:t>
      </w:r>
    </w:p>
    <w:p w14:paraId="7233FD3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F86CF3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Вiдповiдальне споживання природних ресурсiв є обгрунтованим та контрольованим.</w:t>
      </w:r>
    </w:p>
    <w:p w14:paraId="01C985D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B1F8C4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Цiлi пiдприємства та екологiчнi показники споживання природних ресурсiв (води, природного газу) та зменшення впливу на навколишнє природнє середовище (утворення вiдходiв, зменшення викидiв СО2) переглядаються щороку. Екологiчнi аспекти та впливи на навколишнє середовище переглядаються щорiчно та у разi, якщо вiдбуваються змiни у процесах виробництва.</w:t>
      </w:r>
    </w:p>
    <w:p w14:paraId="7455421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5D5ED2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Незважаючи на вiйськовий стан, запроваджений в країнi в зв'язку з росiйською агресiєю, та значними руйнуваннями, що зазнав корпус виробництва печива, пiдприємство працює в рамках законодавства, дотримуючись всiх вимог. Данi за 2023 по споживанню природних ресурсiв та утворення вiдходiв, викидiв в атмосферне повiтря не вiдображають роботу пiдприємства, оскiльки тривала вiдбудова складських примiщень бiсквiтного корпусу, ремонтнi роботи пошкодженого обладнання, запуск на наладка виробничих лiнiй.</w:t>
      </w:r>
    </w:p>
    <w:p w14:paraId="7AF71DC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53E086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Компанiї впроваджено систему сортування вiдходiв, що дозволяє значно збiльшити рiвень передачi </w:t>
      </w:r>
      <w:r>
        <w:rPr>
          <w:rFonts w:ascii="Times New Roman CYR" w:hAnsi="Times New Roman CYR" w:cs="Times New Roman CYR"/>
          <w:kern w:val="0"/>
        </w:rPr>
        <w:lastRenderedPageBreak/>
        <w:t>вiдходiв на переробку та повторне використання (папiр, картон, полiетилен, використана тара тощо). У своїй дiяльностi пiдприємство зосереджується на можливостях повторного використання або переробки вiдходiв, працюючи над амбiтною цiллю досягти рiвня &lt;1% вiдходiв розмiщених на полiгонах та стати Zero Landfill фабрикою. В порiвняннi з базовим для пiдприємства 2018 роком утворення вiдходiв в 2023 роцi скоротилось лише на 3,4%, але це вiдбулось через значнi руйнування бiсквiтного корпусу та утворення великої к</w:t>
      </w:r>
      <w:r>
        <w:rPr>
          <w:rFonts w:ascii="Times New Roman CYR" w:hAnsi="Times New Roman CYR" w:cs="Times New Roman CYR"/>
          <w:kern w:val="0"/>
        </w:rPr>
        <w:t>iлькостi вiдходiв знесення будiвель та споруд та металобрухту. Але завдяки принципам сортування, бiльшiсть вiдходiв виробництва передаються на переробку та повторне використання. Активно проводить пошук покупцiв для нових видiв вiдходi, та вже iснуючих, щоб не допускати захоронення вiдходiв на полiгонах ТПВ.</w:t>
      </w:r>
    </w:p>
    <w:p w14:paraId="67D5186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5152DA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Використання води для виробничих та побутових цiлей Компанiї здiйснюється на пiдставi Дозволу на спецводокористування та спецiального дозволу на користування надрами. З метою економiї води в Компанiї використовується система оборотного водоспоживання та замкнутого циклу. Споживання свiжої води в 2023 роцi, в порiвняннi з базовим для Компанiї 2018 роком, було скорочено на 72,9%. В Компанiї збудованi споруди попередньої очистки промислових стокiв для забезпечення очищення стiчних вод та приведення всiх показн</w:t>
      </w:r>
      <w:r>
        <w:rPr>
          <w:rFonts w:ascii="Times New Roman CYR" w:hAnsi="Times New Roman CYR" w:cs="Times New Roman CYR"/>
          <w:kern w:val="0"/>
        </w:rPr>
        <w:t>икiв у вiдповiднiсть до вимог чинного законодавства. Споживання свiжої води в 2023 роцi значно скоротилось в порiвняннi з 2022, знову вiдновились фокуси на економiю та уникнення втрат.</w:t>
      </w:r>
    </w:p>
    <w:p w14:paraId="48857FD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487289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Викиди забруднюючих речовин здiйснюється на пiдставi Дозволу на викиди забруднюючих речовин в атмосферне повiтря стацiонарними джерелами. З метою зменшення викидiв в атмосферне повiтря Компанiя провела iнвентаризацiю джерел викидiв, щороку проводить монiторинг викидiв та перевiрку ефективностi роботи встановлених газоочисних установок. </w:t>
      </w:r>
    </w:p>
    <w:p w14:paraId="102DD50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951ED5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Обсяги допустимих викидiв пiдприємством не перевищуються.</w:t>
      </w:r>
    </w:p>
    <w:p w14:paraId="670A27B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0BA2C23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Для уникнення зупинки виробництва при аварiйних вiдключеннях електроенергiї, була проведена реконструкцiя котельнi з встановленням когенерацiйної установки JMS 612 GS-N.L. В Компанiї дiє програма замiни обладнання з озоноруйнуючими фреонами на безпечнi та iнвестуються кошти в проекти, спрямованi на пiдвищення енергоефективностi обладнання (замiна неефективних двигунiв, модернiзацiя системи освiтлення, встановлення датчикiв руху тощо). Однак, через вiйськовi дiї стало неможливим використання альтернативного </w:t>
      </w:r>
      <w:r>
        <w:rPr>
          <w:rFonts w:ascii="Times New Roman CYR" w:hAnsi="Times New Roman CYR" w:cs="Times New Roman CYR"/>
          <w:kern w:val="0"/>
        </w:rPr>
        <w:t>палива для виробництва пари для потреб кондитерського виробництва та гарячої води для забезпечення потреб всього пiдприємства. На сьогоднiшнiй день для цих потреб використовується обладнання на природному газi, також додалось нове обладнання для виробництва електроенергiї. Через це очiкується збiльшення викидiв СО2.</w:t>
      </w:r>
    </w:p>
    <w:p w14:paraId="7E029CC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545CA2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Проблеми, якi впливають на дiяльнiсть особи, в тому числi ступiнь залежностi вiд законодавчих або економiчних обмежень. </w:t>
      </w:r>
    </w:p>
    <w:p w14:paraId="2169DD4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55A470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 Українi продовжується повномасштабна вiйна з Росiйською Федерацiєю та дiє правовий режим воєнного стану. Надалi ключовим ризиком є продовження вiйни навiть у разi певної локалiзацiї бойових дiй. Це визначатиме необхiднiсть тривалої роботи економiки в екстремальних умовах та збiльшуватиме потребу в допомозi вiд партнерiв. Посилюватиметься вплив вiйни i на свiтову економiку.</w:t>
      </w:r>
    </w:p>
    <w:p w14:paraId="2363C2C4"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533B058"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Крiм того, значними є ризики систематичних збоїв у ритмiчностi надходження мiжнародної допомоги та/або суттєвiшого зниження її обсягiв. Незважаючи на затримки з надходженням мiжнародної допомоги на початку 2024 року, очiкується, що її ритмiчнiсть буде вiдновлена.</w:t>
      </w:r>
    </w:p>
    <w:p w14:paraId="6B01035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0E95B7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Ситуацiя продовжує розвиватися i її наслiдки наразi є до кiнця невизначеними. Керiвництво не може передбачити всi змiни, якi можуть мати вплив на економiку в цiлому, а також те, якi наслiдки вони можуть мати на фiнансовий стан та результати дiяльностi Компанiї в майбутньому. Керiвництво продовжує стежити за можливим впливом вказаних подiй на Компанiю i вживатиме всiх можливих заходiв для зменшення будьяких негативних наслiдкiв.</w:t>
      </w:r>
    </w:p>
    <w:p w14:paraId="33660B9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CD77E4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 Капiтальнi зобов'язання. Станом на 31 грудня 2023 року Компанiя мала передбаченi договорами зобов'язання з капiтальних витрат у сумi 107 794 тисяч гривень (на 31 грудня 2022 року - 38 796 тисячi гривень). Керiвництво Компанiї вважає, що майбутнiх чистих доходiв та фiнансування буде достатньо для покриття цих та аналогiчних зобов'яз</w:t>
      </w:r>
      <w:r>
        <w:rPr>
          <w:rFonts w:ascii="Times New Roman CYR" w:hAnsi="Times New Roman CYR" w:cs="Times New Roman CYR"/>
          <w:kern w:val="0"/>
        </w:rPr>
        <w:t>ань.</w:t>
      </w:r>
    </w:p>
    <w:p w14:paraId="2213CB73"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6C70BF0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 Середньооблiкова чисельнiсть штатних працiвникiв ПрАТ "Монделiс Україна" та Київської фiлiї - 767, середня чисельнiсть позаштатних</w:t>
      </w:r>
      <w:r>
        <w:rPr>
          <w:rFonts w:ascii="Times New Roman CYR" w:hAnsi="Times New Roman CYR" w:cs="Times New Roman CYR"/>
          <w:kern w:val="0"/>
        </w:rPr>
        <w:t xml:space="preserve"> працiвникiв та осiб якi працюють за сумiсництвом ПрАТ "Монделiс Україна" - 1, чисельнiсть працiвникiв ПрАТ "Монделiс Україна", якi працюють на умовах неповного робочого часу (дня, тижня) - 9.</w:t>
      </w:r>
    </w:p>
    <w:p w14:paraId="3C5DA85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00F029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Фонд оплати працi - 314 935 тис грн</w:t>
      </w:r>
    </w:p>
    <w:p w14:paraId="0AE2580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857FF5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Змiна фонду оплати працi обумовлена реалiзацiєю полiтики матерiального стимулювання персоналу, зокрема пiдвищенням посадових окладiв та виплатою бонусiв за виконання iндивiдуальних цiлей.</w:t>
      </w:r>
    </w:p>
    <w:p w14:paraId="52EBEE5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402481B6"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Будь-якi пропозицiї щодо реорганiзацiї з боку третiх осiб, що мали мiсце протягом звiтного перiоду, умови та результати цих пропозицiй.  Вiдсутнi</w:t>
      </w:r>
    </w:p>
    <w:p w14:paraId="5390FCBB"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7C3C750F"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Iнша iнформацiя, яка може бути iстотною для оцiнки стейкхолдерами фiнансового стану та результатiв дiяльностi особи.</w:t>
      </w:r>
    </w:p>
    <w:p w14:paraId="3663CC91"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2DABA3EE"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Емiтент складає консолiдовану фiнансову звiтнiсть вiдповiдно до законодавства  на основi таксономiї фiнансової звiтностi за мiжнародними стандартами фiнансової звiтностi в єдиному електронному форматi (формат XBRL), визначеному центральним органом виконавчої влади, що забезпечує формування та реалiзує державну полiтику у сферi бухгалтерського облiку, та подає її до Центру збору фiнансової звiтностi. Таблицi щодо основних засобiв, вартостi чистих активiв, зобов'язань та забезпечення особи, обсягiв виробництв</w:t>
      </w:r>
      <w:r>
        <w:rPr>
          <w:rFonts w:ascii="Times New Roman CYR" w:hAnsi="Times New Roman CYR" w:cs="Times New Roman CYR"/>
          <w:kern w:val="0"/>
        </w:rPr>
        <w:t>а та реалiзацiї основних видiв продукцiї, обсяги виробництва та реалiзацiї основних видiв продукцiї та розмiру доходу зазначена вiдповiдно до консолiдованої фiнансової звiтностi.</w:t>
      </w:r>
    </w:p>
    <w:p w14:paraId="2CBC9F5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B3A1AE2"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F262C1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56773079"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p>
    <w:p w14:paraId="358B66E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3FF86B30"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14:paraId="47A91124"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3834E9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60E159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402FB54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014993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7EBD852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закінчення строку дії ліцензії (за наявності)</w:t>
            </w:r>
          </w:p>
        </w:tc>
      </w:tr>
      <w:tr w:rsidR="00000000" w14:paraId="522C835A"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3C0362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vAlign w:val="center"/>
          </w:tcPr>
          <w:p w14:paraId="68E5B85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065" w:type="dxa"/>
            <w:tcBorders>
              <w:top w:val="single" w:sz="6" w:space="0" w:color="auto"/>
              <w:left w:val="single" w:sz="6" w:space="0" w:color="auto"/>
              <w:bottom w:val="single" w:sz="6" w:space="0" w:color="auto"/>
              <w:right w:val="single" w:sz="6" w:space="0" w:color="auto"/>
            </w:tcBorders>
            <w:vAlign w:val="center"/>
          </w:tcPr>
          <w:p w14:paraId="4FDDA9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000" w:type="dxa"/>
            <w:tcBorders>
              <w:top w:val="single" w:sz="6" w:space="0" w:color="auto"/>
              <w:left w:val="single" w:sz="6" w:space="0" w:color="auto"/>
              <w:bottom w:val="single" w:sz="6" w:space="0" w:color="auto"/>
              <w:right w:val="single" w:sz="6" w:space="0" w:color="auto"/>
            </w:tcBorders>
            <w:vAlign w:val="center"/>
          </w:tcPr>
          <w:p w14:paraId="05AF75A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tcBorders>
            <w:vAlign w:val="center"/>
          </w:tcPr>
          <w:p w14:paraId="3740F6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000000" w14:paraId="1ADC113C"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10B7EEB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Придбання; зберiгання; використання; знищення прекурсорiв (списку 2 таблицi IV) Перелiку наркотичних засобiв, психотропних речовин i прекурсорiв</w:t>
            </w:r>
          </w:p>
        </w:tc>
        <w:tc>
          <w:tcPr>
            <w:tcW w:w="1500" w:type="dxa"/>
            <w:tcBorders>
              <w:top w:val="single" w:sz="6" w:space="0" w:color="auto"/>
              <w:left w:val="single" w:sz="6" w:space="0" w:color="auto"/>
              <w:bottom w:val="single" w:sz="6" w:space="0" w:color="auto"/>
              <w:right w:val="single" w:sz="6" w:space="0" w:color="auto"/>
            </w:tcBorders>
          </w:tcPr>
          <w:p w14:paraId="7B4E705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б/н</w:t>
            </w:r>
          </w:p>
        </w:tc>
        <w:tc>
          <w:tcPr>
            <w:tcW w:w="1065" w:type="dxa"/>
            <w:tcBorders>
              <w:top w:val="single" w:sz="6" w:space="0" w:color="auto"/>
              <w:left w:val="single" w:sz="6" w:space="0" w:color="auto"/>
              <w:bottom w:val="single" w:sz="6" w:space="0" w:color="auto"/>
              <w:right w:val="single" w:sz="6" w:space="0" w:color="auto"/>
            </w:tcBorders>
          </w:tcPr>
          <w:p w14:paraId="0B39D0B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13.01.2022</w:t>
            </w:r>
          </w:p>
        </w:tc>
        <w:tc>
          <w:tcPr>
            <w:tcW w:w="3000" w:type="dxa"/>
            <w:tcBorders>
              <w:top w:val="single" w:sz="6" w:space="0" w:color="auto"/>
              <w:left w:val="single" w:sz="6" w:space="0" w:color="auto"/>
              <w:bottom w:val="single" w:sz="6" w:space="0" w:color="auto"/>
              <w:right w:val="single" w:sz="6" w:space="0" w:color="auto"/>
            </w:tcBorders>
          </w:tcPr>
          <w:p w14:paraId="4407EA9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служба України з лiкарських засобiв та контролю за наркотиками</w:t>
            </w:r>
          </w:p>
        </w:tc>
        <w:tc>
          <w:tcPr>
            <w:tcW w:w="1200" w:type="dxa"/>
            <w:tcBorders>
              <w:top w:val="single" w:sz="6" w:space="0" w:color="auto"/>
              <w:left w:val="single" w:sz="6" w:space="0" w:color="auto"/>
              <w:bottom w:val="single" w:sz="6" w:space="0" w:color="auto"/>
            </w:tcBorders>
          </w:tcPr>
          <w:p w14:paraId="7EBFB05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13.01.2027</w:t>
            </w:r>
          </w:p>
        </w:tc>
      </w:tr>
      <w:tr w:rsidR="00000000" w14:paraId="7FB700EE"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078DDD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Зберiгання пального (виключно для потреб власного споживання чи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14:paraId="687276A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18160414202000694</w:t>
            </w:r>
          </w:p>
        </w:tc>
        <w:tc>
          <w:tcPr>
            <w:tcW w:w="1065" w:type="dxa"/>
            <w:tcBorders>
              <w:top w:val="single" w:sz="6" w:space="0" w:color="auto"/>
              <w:left w:val="single" w:sz="6" w:space="0" w:color="auto"/>
              <w:bottom w:val="single" w:sz="6" w:space="0" w:color="auto"/>
              <w:right w:val="single" w:sz="6" w:space="0" w:color="auto"/>
            </w:tcBorders>
          </w:tcPr>
          <w:p w14:paraId="0A3EC9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14.08.2020</w:t>
            </w:r>
          </w:p>
        </w:tc>
        <w:tc>
          <w:tcPr>
            <w:tcW w:w="3000" w:type="dxa"/>
            <w:tcBorders>
              <w:top w:val="single" w:sz="6" w:space="0" w:color="auto"/>
              <w:left w:val="single" w:sz="6" w:space="0" w:color="auto"/>
              <w:bottom w:val="single" w:sz="6" w:space="0" w:color="auto"/>
              <w:right w:val="single" w:sz="6" w:space="0" w:color="auto"/>
            </w:tcBorders>
          </w:tcPr>
          <w:p w14:paraId="25B7808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податкова служба України</w:t>
            </w:r>
          </w:p>
        </w:tc>
        <w:tc>
          <w:tcPr>
            <w:tcW w:w="1200" w:type="dxa"/>
            <w:tcBorders>
              <w:top w:val="single" w:sz="6" w:space="0" w:color="auto"/>
              <w:left w:val="single" w:sz="6" w:space="0" w:color="auto"/>
              <w:bottom w:val="single" w:sz="6" w:space="0" w:color="auto"/>
            </w:tcBorders>
          </w:tcPr>
          <w:p w14:paraId="0BCAD76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14.08.2025</w:t>
            </w:r>
          </w:p>
        </w:tc>
      </w:tr>
    </w:tbl>
    <w:p w14:paraId="2AAB9B3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146EE826"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14:paraId="1F8CDFD4" w14:textId="77777777">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14:paraId="7DCCB8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31D8410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50440B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5D83AC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 усього, тис. грн</w:t>
            </w:r>
          </w:p>
        </w:tc>
      </w:tr>
      <w:tr w:rsidR="00000000" w14:paraId="67AD3E1D" w14:textId="77777777">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14:paraId="7A738D8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14:paraId="3E0A234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25F8388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E9D75C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39BCFC6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22B1D4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6B10342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r>
      <w:tr w:rsidR="00000000" w14:paraId="095B1AB7"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C34D43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1BF5C7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1 606 797</w:t>
            </w:r>
          </w:p>
        </w:tc>
        <w:tc>
          <w:tcPr>
            <w:tcW w:w="1080" w:type="dxa"/>
            <w:tcBorders>
              <w:top w:val="single" w:sz="6" w:space="0" w:color="auto"/>
              <w:left w:val="single" w:sz="6" w:space="0" w:color="auto"/>
              <w:bottom w:val="single" w:sz="6" w:space="0" w:color="auto"/>
              <w:right w:val="single" w:sz="6" w:space="0" w:color="auto"/>
            </w:tcBorders>
            <w:vAlign w:val="center"/>
          </w:tcPr>
          <w:p w14:paraId="754A0FB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1 885 610</w:t>
            </w:r>
          </w:p>
        </w:tc>
        <w:tc>
          <w:tcPr>
            <w:tcW w:w="1260" w:type="dxa"/>
            <w:tcBorders>
              <w:top w:val="single" w:sz="6" w:space="0" w:color="auto"/>
              <w:left w:val="single" w:sz="6" w:space="0" w:color="auto"/>
              <w:bottom w:val="single" w:sz="6" w:space="0" w:color="auto"/>
              <w:right w:val="single" w:sz="6" w:space="0" w:color="auto"/>
            </w:tcBorders>
            <w:vAlign w:val="center"/>
          </w:tcPr>
          <w:p w14:paraId="354A20A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122 653</w:t>
            </w:r>
          </w:p>
        </w:tc>
        <w:tc>
          <w:tcPr>
            <w:tcW w:w="1080" w:type="dxa"/>
            <w:tcBorders>
              <w:top w:val="single" w:sz="6" w:space="0" w:color="auto"/>
              <w:left w:val="single" w:sz="6" w:space="0" w:color="auto"/>
              <w:bottom w:val="single" w:sz="6" w:space="0" w:color="auto"/>
              <w:right w:val="single" w:sz="6" w:space="0" w:color="auto"/>
            </w:tcBorders>
            <w:vAlign w:val="center"/>
          </w:tcPr>
          <w:p w14:paraId="77D33E4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114 307</w:t>
            </w:r>
          </w:p>
        </w:tc>
        <w:tc>
          <w:tcPr>
            <w:tcW w:w="1260" w:type="dxa"/>
            <w:tcBorders>
              <w:top w:val="single" w:sz="6" w:space="0" w:color="auto"/>
              <w:left w:val="single" w:sz="6" w:space="0" w:color="auto"/>
              <w:bottom w:val="single" w:sz="6" w:space="0" w:color="auto"/>
              <w:right w:val="single" w:sz="6" w:space="0" w:color="auto"/>
            </w:tcBorders>
            <w:vAlign w:val="center"/>
          </w:tcPr>
          <w:p w14:paraId="7E08BF3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1 729 450</w:t>
            </w:r>
          </w:p>
        </w:tc>
        <w:tc>
          <w:tcPr>
            <w:tcW w:w="1082" w:type="dxa"/>
            <w:tcBorders>
              <w:top w:val="single" w:sz="6" w:space="0" w:color="auto"/>
              <w:left w:val="single" w:sz="6" w:space="0" w:color="auto"/>
              <w:bottom w:val="single" w:sz="6" w:space="0" w:color="auto"/>
            </w:tcBorders>
            <w:vAlign w:val="center"/>
          </w:tcPr>
          <w:p w14:paraId="309CC5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1 999 917</w:t>
            </w:r>
          </w:p>
        </w:tc>
      </w:tr>
      <w:tr w:rsidR="00000000" w14:paraId="01797235"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71C884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6CA5665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350 647</w:t>
            </w:r>
          </w:p>
        </w:tc>
        <w:tc>
          <w:tcPr>
            <w:tcW w:w="1080" w:type="dxa"/>
            <w:tcBorders>
              <w:top w:val="single" w:sz="6" w:space="0" w:color="auto"/>
              <w:left w:val="single" w:sz="6" w:space="0" w:color="auto"/>
              <w:bottom w:val="single" w:sz="6" w:space="0" w:color="auto"/>
              <w:right w:val="single" w:sz="6" w:space="0" w:color="auto"/>
            </w:tcBorders>
            <w:vAlign w:val="center"/>
          </w:tcPr>
          <w:p w14:paraId="2054AB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570 714</w:t>
            </w:r>
          </w:p>
        </w:tc>
        <w:tc>
          <w:tcPr>
            <w:tcW w:w="1260" w:type="dxa"/>
            <w:tcBorders>
              <w:top w:val="single" w:sz="6" w:space="0" w:color="auto"/>
              <w:left w:val="single" w:sz="6" w:space="0" w:color="auto"/>
              <w:bottom w:val="single" w:sz="6" w:space="0" w:color="auto"/>
              <w:right w:val="single" w:sz="6" w:space="0" w:color="auto"/>
            </w:tcBorders>
            <w:vAlign w:val="center"/>
          </w:tcPr>
          <w:p w14:paraId="6B3E133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23 326</w:t>
            </w:r>
          </w:p>
        </w:tc>
        <w:tc>
          <w:tcPr>
            <w:tcW w:w="1080" w:type="dxa"/>
            <w:tcBorders>
              <w:top w:val="single" w:sz="6" w:space="0" w:color="auto"/>
              <w:left w:val="single" w:sz="6" w:space="0" w:color="auto"/>
              <w:bottom w:val="single" w:sz="6" w:space="0" w:color="auto"/>
              <w:right w:val="single" w:sz="6" w:space="0" w:color="auto"/>
            </w:tcBorders>
            <w:vAlign w:val="center"/>
          </w:tcPr>
          <w:p w14:paraId="477484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16 511</w:t>
            </w:r>
          </w:p>
        </w:tc>
        <w:tc>
          <w:tcPr>
            <w:tcW w:w="1260" w:type="dxa"/>
            <w:tcBorders>
              <w:top w:val="single" w:sz="6" w:space="0" w:color="auto"/>
              <w:left w:val="single" w:sz="6" w:space="0" w:color="auto"/>
              <w:bottom w:val="single" w:sz="6" w:space="0" w:color="auto"/>
              <w:right w:val="single" w:sz="6" w:space="0" w:color="auto"/>
            </w:tcBorders>
            <w:vAlign w:val="center"/>
          </w:tcPr>
          <w:p w14:paraId="5BFD4A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373 973</w:t>
            </w:r>
          </w:p>
        </w:tc>
        <w:tc>
          <w:tcPr>
            <w:tcW w:w="1082" w:type="dxa"/>
            <w:tcBorders>
              <w:top w:val="single" w:sz="6" w:space="0" w:color="auto"/>
              <w:left w:val="single" w:sz="6" w:space="0" w:color="auto"/>
              <w:bottom w:val="single" w:sz="6" w:space="0" w:color="auto"/>
            </w:tcBorders>
            <w:vAlign w:val="center"/>
          </w:tcPr>
          <w:p w14:paraId="1F0E44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587 225</w:t>
            </w:r>
          </w:p>
        </w:tc>
      </w:tr>
      <w:tr w:rsidR="00000000" w14:paraId="53D05606"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B1F1BF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6381B6B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1 220 191</w:t>
            </w:r>
          </w:p>
        </w:tc>
        <w:tc>
          <w:tcPr>
            <w:tcW w:w="1080" w:type="dxa"/>
            <w:tcBorders>
              <w:top w:val="single" w:sz="6" w:space="0" w:color="auto"/>
              <w:left w:val="single" w:sz="6" w:space="0" w:color="auto"/>
              <w:bottom w:val="single" w:sz="6" w:space="0" w:color="auto"/>
              <w:right w:val="single" w:sz="6" w:space="0" w:color="auto"/>
            </w:tcBorders>
            <w:vAlign w:val="center"/>
          </w:tcPr>
          <w:p w14:paraId="024B6ED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1 283 539</w:t>
            </w:r>
          </w:p>
        </w:tc>
        <w:tc>
          <w:tcPr>
            <w:tcW w:w="1260" w:type="dxa"/>
            <w:tcBorders>
              <w:top w:val="single" w:sz="6" w:space="0" w:color="auto"/>
              <w:left w:val="single" w:sz="6" w:space="0" w:color="auto"/>
              <w:bottom w:val="single" w:sz="6" w:space="0" w:color="auto"/>
              <w:right w:val="single" w:sz="6" w:space="0" w:color="auto"/>
            </w:tcBorders>
            <w:vAlign w:val="center"/>
          </w:tcPr>
          <w:p w14:paraId="22E84D4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4E888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7DB27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1 220 191</w:t>
            </w:r>
          </w:p>
        </w:tc>
        <w:tc>
          <w:tcPr>
            <w:tcW w:w="1082" w:type="dxa"/>
            <w:tcBorders>
              <w:top w:val="single" w:sz="6" w:space="0" w:color="auto"/>
              <w:left w:val="single" w:sz="6" w:space="0" w:color="auto"/>
              <w:bottom w:val="single" w:sz="6" w:space="0" w:color="auto"/>
            </w:tcBorders>
            <w:vAlign w:val="center"/>
          </w:tcPr>
          <w:p w14:paraId="1D90B72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1 283 539</w:t>
            </w:r>
          </w:p>
        </w:tc>
      </w:tr>
      <w:tr w:rsidR="00000000" w14:paraId="5BDE4C2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A80F6B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087040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6B290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B5D95E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5 882</w:t>
            </w:r>
          </w:p>
        </w:tc>
        <w:tc>
          <w:tcPr>
            <w:tcW w:w="1080" w:type="dxa"/>
            <w:tcBorders>
              <w:top w:val="single" w:sz="6" w:space="0" w:color="auto"/>
              <w:left w:val="single" w:sz="6" w:space="0" w:color="auto"/>
              <w:bottom w:val="single" w:sz="6" w:space="0" w:color="auto"/>
              <w:right w:val="single" w:sz="6" w:space="0" w:color="auto"/>
            </w:tcBorders>
            <w:vAlign w:val="center"/>
          </w:tcPr>
          <w:p w14:paraId="304C82E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24 176</w:t>
            </w:r>
          </w:p>
        </w:tc>
        <w:tc>
          <w:tcPr>
            <w:tcW w:w="1260" w:type="dxa"/>
            <w:tcBorders>
              <w:top w:val="single" w:sz="6" w:space="0" w:color="auto"/>
              <w:left w:val="single" w:sz="6" w:space="0" w:color="auto"/>
              <w:bottom w:val="single" w:sz="6" w:space="0" w:color="auto"/>
              <w:right w:val="single" w:sz="6" w:space="0" w:color="auto"/>
            </w:tcBorders>
            <w:vAlign w:val="center"/>
          </w:tcPr>
          <w:p w14:paraId="0245C1E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5 882</w:t>
            </w:r>
          </w:p>
        </w:tc>
        <w:tc>
          <w:tcPr>
            <w:tcW w:w="1082" w:type="dxa"/>
            <w:tcBorders>
              <w:top w:val="single" w:sz="6" w:space="0" w:color="auto"/>
              <w:left w:val="single" w:sz="6" w:space="0" w:color="auto"/>
              <w:bottom w:val="single" w:sz="6" w:space="0" w:color="auto"/>
            </w:tcBorders>
            <w:vAlign w:val="center"/>
          </w:tcPr>
          <w:p w14:paraId="492CEF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24 176</w:t>
            </w:r>
          </w:p>
        </w:tc>
      </w:tr>
      <w:tr w:rsidR="00000000" w14:paraId="42B40F0C"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A1D825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591E003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EFB629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0263E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93 445</w:t>
            </w:r>
          </w:p>
        </w:tc>
        <w:tc>
          <w:tcPr>
            <w:tcW w:w="1080" w:type="dxa"/>
            <w:tcBorders>
              <w:top w:val="single" w:sz="6" w:space="0" w:color="auto"/>
              <w:left w:val="single" w:sz="6" w:space="0" w:color="auto"/>
              <w:bottom w:val="single" w:sz="6" w:space="0" w:color="auto"/>
              <w:right w:val="single" w:sz="6" w:space="0" w:color="auto"/>
            </w:tcBorders>
            <w:vAlign w:val="center"/>
          </w:tcPr>
          <w:p w14:paraId="1FBF19A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73 620</w:t>
            </w:r>
          </w:p>
        </w:tc>
        <w:tc>
          <w:tcPr>
            <w:tcW w:w="1260" w:type="dxa"/>
            <w:tcBorders>
              <w:top w:val="single" w:sz="6" w:space="0" w:color="auto"/>
              <w:left w:val="single" w:sz="6" w:space="0" w:color="auto"/>
              <w:bottom w:val="single" w:sz="6" w:space="0" w:color="auto"/>
              <w:right w:val="single" w:sz="6" w:space="0" w:color="auto"/>
            </w:tcBorders>
            <w:vAlign w:val="center"/>
          </w:tcPr>
          <w:p w14:paraId="01476D1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93 445</w:t>
            </w:r>
          </w:p>
        </w:tc>
        <w:tc>
          <w:tcPr>
            <w:tcW w:w="1082" w:type="dxa"/>
            <w:tcBorders>
              <w:top w:val="single" w:sz="6" w:space="0" w:color="auto"/>
              <w:left w:val="single" w:sz="6" w:space="0" w:color="auto"/>
              <w:bottom w:val="single" w:sz="6" w:space="0" w:color="auto"/>
            </w:tcBorders>
            <w:vAlign w:val="center"/>
          </w:tcPr>
          <w:p w14:paraId="2C2FD9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73 620</w:t>
            </w:r>
          </w:p>
        </w:tc>
      </w:tr>
      <w:tr w:rsidR="00000000" w14:paraId="0B91D2C0"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0B2216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CB84D1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35 959</w:t>
            </w:r>
          </w:p>
        </w:tc>
        <w:tc>
          <w:tcPr>
            <w:tcW w:w="1080" w:type="dxa"/>
            <w:tcBorders>
              <w:top w:val="single" w:sz="6" w:space="0" w:color="auto"/>
              <w:left w:val="single" w:sz="6" w:space="0" w:color="auto"/>
              <w:bottom w:val="single" w:sz="6" w:space="0" w:color="auto"/>
              <w:right w:val="single" w:sz="6" w:space="0" w:color="auto"/>
            </w:tcBorders>
            <w:vAlign w:val="center"/>
          </w:tcPr>
          <w:p w14:paraId="6571B7E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31 357</w:t>
            </w:r>
          </w:p>
        </w:tc>
        <w:tc>
          <w:tcPr>
            <w:tcW w:w="1260" w:type="dxa"/>
            <w:tcBorders>
              <w:top w:val="single" w:sz="6" w:space="0" w:color="auto"/>
              <w:left w:val="single" w:sz="6" w:space="0" w:color="auto"/>
              <w:bottom w:val="single" w:sz="6" w:space="0" w:color="auto"/>
              <w:right w:val="single" w:sz="6" w:space="0" w:color="auto"/>
            </w:tcBorders>
            <w:vAlign w:val="center"/>
          </w:tcPr>
          <w:p w14:paraId="56A814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930AD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B76C7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35 959</w:t>
            </w:r>
          </w:p>
        </w:tc>
        <w:tc>
          <w:tcPr>
            <w:tcW w:w="1082" w:type="dxa"/>
            <w:tcBorders>
              <w:top w:val="single" w:sz="6" w:space="0" w:color="auto"/>
              <w:left w:val="single" w:sz="6" w:space="0" w:color="auto"/>
              <w:bottom w:val="single" w:sz="6" w:space="0" w:color="auto"/>
            </w:tcBorders>
            <w:vAlign w:val="center"/>
          </w:tcPr>
          <w:p w14:paraId="06C3409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31 357</w:t>
            </w:r>
          </w:p>
        </w:tc>
      </w:tr>
      <w:tr w:rsidR="00000000" w14:paraId="3D62094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44EC6D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D2E53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5 277</w:t>
            </w:r>
          </w:p>
        </w:tc>
        <w:tc>
          <w:tcPr>
            <w:tcW w:w="1080" w:type="dxa"/>
            <w:tcBorders>
              <w:top w:val="single" w:sz="6" w:space="0" w:color="auto"/>
              <w:left w:val="single" w:sz="6" w:space="0" w:color="auto"/>
              <w:bottom w:val="single" w:sz="6" w:space="0" w:color="auto"/>
              <w:right w:val="single" w:sz="6" w:space="0" w:color="auto"/>
            </w:tcBorders>
            <w:vAlign w:val="center"/>
          </w:tcPr>
          <w:p w14:paraId="4547825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5 231</w:t>
            </w:r>
          </w:p>
        </w:tc>
        <w:tc>
          <w:tcPr>
            <w:tcW w:w="1260" w:type="dxa"/>
            <w:tcBorders>
              <w:top w:val="single" w:sz="6" w:space="0" w:color="auto"/>
              <w:left w:val="single" w:sz="6" w:space="0" w:color="auto"/>
              <w:bottom w:val="single" w:sz="6" w:space="0" w:color="auto"/>
              <w:right w:val="single" w:sz="6" w:space="0" w:color="auto"/>
            </w:tcBorders>
            <w:vAlign w:val="center"/>
          </w:tcPr>
          <w:p w14:paraId="635F253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4233C8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D6759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5 277</w:t>
            </w:r>
          </w:p>
        </w:tc>
        <w:tc>
          <w:tcPr>
            <w:tcW w:w="1082" w:type="dxa"/>
            <w:tcBorders>
              <w:top w:val="single" w:sz="6" w:space="0" w:color="auto"/>
              <w:left w:val="single" w:sz="6" w:space="0" w:color="auto"/>
              <w:bottom w:val="single" w:sz="6" w:space="0" w:color="auto"/>
            </w:tcBorders>
            <w:vAlign w:val="center"/>
          </w:tcPr>
          <w:p w14:paraId="4C6AEF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5 231</w:t>
            </w:r>
          </w:p>
        </w:tc>
      </w:tr>
      <w:tr w:rsidR="00000000" w14:paraId="182832B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50B12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4D1C8A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4 293</w:t>
            </w:r>
          </w:p>
        </w:tc>
        <w:tc>
          <w:tcPr>
            <w:tcW w:w="1080" w:type="dxa"/>
            <w:tcBorders>
              <w:top w:val="single" w:sz="6" w:space="0" w:color="auto"/>
              <w:left w:val="single" w:sz="6" w:space="0" w:color="auto"/>
              <w:bottom w:val="single" w:sz="6" w:space="0" w:color="auto"/>
              <w:right w:val="single" w:sz="6" w:space="0" w:color="auto"/>
            </w:tcBorders>
            <w:vAlign w:val="center"/>
          </w:tcPr>
          <w:p w14:paraId="3F0BE78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4 252</w:t>
            </w:r>
          </w:p>
        </w:tc>
        <w:tc>
          <w:tcPr>
            <w:tcW w:w="1260" w:type="dxa"/>
            <w:tcBorders>
              <w:top w:val="single" w:sz="6" w:space="0" w:color="auto"/>
              <w:left w:val="single" w:sz="6" w:space="0" w:color="auto"/>
              <w:bottom w:val="single" w:sz="6" w:space="0" w:color="auto"/>
              <w:right w:val="single" w:sz="6" w:space="0" w:color="auto"/>
            </w:tcBorders>
            <w:vAlign w:val="center"/>
          </w:tcPr>
          <w:p w14:paraId="46BD90E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16D324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52FB74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4 293</w:t>
            </w:r>
          </w:p>
        </w:tc>
        <w:tc>
          <w:tcPr>
            <w:tcW w:w="1082" w:type="dxa"/>
            <w:tcBorders>
              <w:top w:val="single" w:sz="6" w:space="0" w:color="auto"/>
              <w:left w:val="single" w:sz="6" w:space="0" w:color="auto"/>
              <w:bottom w:val="single" w:sz="6" w:space="0" w:color="auto"/>
            </w:tcBorders>
            <w:vAlign w:val="center"/>
          </w:tcPr>
          <w:p w14:paraId="1295CE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4 252</w:t>
            </w:r>
          </w:p>
        </w:tc>
      </w:tr>
      <w:tr w:rsidR="00000000" w14:paraId="38CD00E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92EC0C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71A7009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402</w:t>
            </w:r>
          </w:p>
        </w:tc>
        <w:tc>
          <w:tcPr>
            <w:tcW w:w="1080" w:type="dxa"/>
            <w:tcBorders>
              <w:top w:val="single" w:sz="6" w:space="0" w:color="auto"/>
              <w:left w:val="single" w:sz="6" w:space="0" w:color="auto"/>
              <w:bottom w:val="single" w:sz="6" w:space="0" w:color="auto"/>
              <w:right w:val="single" w:sz="6" w:space="0" w:color="auto"/>
            </w:tcBorders>
            <w:vAlign w:val="center"/>
          </w:tcPr>
          <w:p w14:paraId="2ECD85D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w:t>
            </w:r>
          </w:p>
        </w:tc>
        <w:tc>
          <w:tcPr>
            <w:tcW w:w="1260" w:type="dxa"/>
            <w:tcBorders>
              <w:top w:val="single" w:sz="6" w:space="0" w:color="auto"/>
              <w:left w:val="single" w:sz="6" w:space="0" w:color="auto"/>
              <w:bottom w:val="single" w:sz="6" w:space="0" w:color="auto"/>
              <w:right w:val="single" w:sz="6" w:space="0" w:color="auto"/>
            </w:tcBorders>
            <w:vAlign w:val="center"/>
          </w:tcPr>
          <w:p w14:paraId="1D93F7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07969D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CDD445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402</w:t>
            </w:r>
          </w:p>
        </w:tc>
        <w:tc>
          <w:tcPr>
            <w:tcW w:w="1082" w:type="dxa"/>
            <w:tcBorders>
              <w:top w:val="single" w:sz="6" w:space="0" w:color="auto"/>
              <w:left w:val="single" w:sz="6" w:space="0" w:color="auto"/>
              <w:bottom w:val="single" w:sz="6" w:space="0" w:color="auto"/>
            </w:tcBorders>
            <w:vAlign w:val="center"/>
          </w:tcPr>
          <w:p w14:paraId="2F9316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w:t>
            </w:r>
          </w:p>
        </w:tc>
      </w:tr>
      <w:tr w:rsidR="00000000" w14:paraId="2C27C036"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BA8EDC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0AB6737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47847F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56E91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DDA28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546ED4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D088D7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A275B4D"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C05910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C98FF2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482281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048731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673FB7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A81FFD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84069C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94880E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2E6688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0C4598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509973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BFBEDC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ADCE2D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6F7819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03340C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0F3D701"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D863F1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22F240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582</w:t>
            </w:r>
          </w:p>
        </w:tc>
        <w:tc>
          <w:tcPr>
            <w:tcW w:w="1080" w:type="dxa"/>
            <w:tcBorders>
              <w:top w:val="single" w:sz="6" w:space="0" w:color="auto"/>
              <w:left w:val="single" w:sz="6" w:space="0" w:color="auto"/>
              <w:bottom w:val="single" w:sz="6" w:space="0" w:color="auto"/>
              <w:right w:val="single" w:sz="6" w:space="0" w:color="auto"/>
            </w:tcBorders>
            <w:vAlign w:val="center"/>
          </w:tcPr>
          <w:p w14:paraId="3586161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558</w:t>
            </w:r>
          </w:p>
        </w:tc>
        <w:tc>
          <w:tcPr>
            <w:tcW w:w="1260" w:type="dxa"/>
            <w:tcBorders>
              <w:top w:val="single" w:sz="6" w:space="0" w:color="auto"/>
              <w:left w:val="single" w:sz="6" w:space="0" w:color="auto"/>
              <w:bottom w:val="single" w:sz="6" w:space="0" w:color="auto"/>
              <w:right w:val="single" w:sz="6" w:space="0" w:color="auto"/>
            </w:tcBorders>
            <w:vAlign w:val="center"/>
          </w:tcPr>
          <w:p w14:paraId="740AE36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0C3895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8799A9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582</w:t>
            </w:r>
          </w:p>
        </w:tc>
        <w:tc>
          <w:tcPr>
            <w:tcW w:w="1082" w:type="dxa"/>
            <w:tcBorders>
              <w:top w:val="single" w:sz="6" w:space="0" w:color="auto"/>
              <w:left w:val="single" w:sz="6" w:space="0" w:color="auto"/>
              <w:bottom w:val="single" w:sz="6" w:space="0" w:color="auto"/>
            </w:tcBorders>
            <w:vAlign w:val="center"/>
          </w:tcPr>
          <w:p w14:paraId="7C2D4D1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558</w:t>
            </w:r>
          </w:p>
        </w:tc>
      </w:tr>
      <w:tr w:rsidR="00000000" w14:paraId="3FAF729E"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58C25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7C7D9A4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1 612 074</w:t>
            </w:r>
          </w:p>
        </w:tc>
        <w:tc>
          <w:tcPr>
            <w:tcW w:w="1080" w:type="dxa"/>
            <w:tcBorders>
              <w:top w:val="single" w:sz="6" w:space="0" w:color="auto"/>
              <w:left w:val="single" w:sz="6" w:space="0" w:color="auto"/>
              <w:bottom w:val="single" w:sz="6" w:space="0" w:color="auto"/>
              <w:right w:val="single" w:sz="6" w:space="0" w:color="auto"/>
            </w:tcBorders>
            <w:vAlign w:val="center"/>
          </w:tcPr>
          <w:p w14:paraId="799599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1 890 841</w:t>
            </w:r>
          </w:p>
        </w:tc>
        <w:tc>
          <w:tcPr>
            <w:tcW w:w="1260" w:type="dxa"/>
            <w:tcBorders>
              <w:top w:val="single" w:sz="6" w:space="0" w:color="auto"/>
              <w:left w:val="single" w:sz="6" w:space="0" w:color="auto"/>
              <w:bottom w:val="single" w:sz="6" w:space="0" w:color="auto"/>
              <w:right w:val="single" w:sz="6" w:space="0" w:color="auto"/>
            </w:tcBorders>
            <w:vAlign w:val="center"/>
          </w:tcPr>
          <w:p w14:paraId="7B3EC8A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122 653</w:t>
            </w:r>
          </w:p>
        </w:tc>
        <w:tc>
          <w:tcPr>
            <w:tcW w:w="1080" w:type="dxa"/>
            <w:tcBorders>
              <w:top w:val="single" w:sz="6" w:space="0" w:color="auto"/>
              <w:left w:val="single" w:sz="6" w:space="0" w:color="auto"/>
              <w:bottom w:val="single" w:sz="6" w:space="0" w:color="auto"/>
              <w:right w:val="single" w:sz="6" w:space="0" w:color="auto"/>
            </w:tcBorders>
            <w:vAlign w:val="center"/>
          </w:tcPr>
          <w:p w14:paraId="32A57BE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114 307</w:t>
            </w:r>
          </w:p>
        </w:tc>
        <w:tc>
          <w:tcPr>
            <w:tcW w:w="1260" w:type="dxa"/>
            <w:tcBorders>
              <w:top w:val="single" w:sz="6" w:space="0" w:color="auto"/>
              <w:left w:val="single" w:sz="6" w:space="0" w:color="auto"/>
              <w:bottom w:val="single" w:sz="6" w:space="0" w:color="auto"/>
              <w:right w:val="single" w:sz="6" w:space="0" w:color="auto"/>
            </w:tcBorders>
            <w:vAlign w:val="center"/>
          </w:tcPr>
          <w:p w14:paraId="118E10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1 734 727</w:t>
            </w:r>
          </w:p>
        </w:tc>
        <w:tc>
          <w:tcPr>
            <w:tcW w:w="1082" w:type="dxa"/>
            <w:tcBorders>
              <w:top w:val="single" w:sz="6" w:space="0" w:color="auto"/>
              <w:left w:val="single" w:sz="6" w:space="0" w:color="auto"/>
              <w:bottom w:val="single" w:sz="6" w:space="0" w:color="auto"/>
            </w:tcBorders>
            <w:vAlign w:val="center"/>
          </w:tcPr>
          <w:p w14:paraId="122C11B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2 005 148</w:t>
            </w:r>
          </w:p>
        </w:tc>
      </w:tr>
      <w:tr w:rsidR="00000000" w14:paraId="30043586"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14:paraId="48CCDD8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765B84D7"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Iнформацiя зазначена вiдповiдно до консолiдованої фiнансової звiтностi. Детальна iнформацiя щодо основних засобiв (вартостi, зносу та iнше) надана в примiтках до вiдповiдної фiнансової звiтностi за звiтний перiод.</w:t>
            </w:r>
          </w:p>
        </w:tc>
      </w:tr>
    </w:tbl>
    <w:p w14:paraId="2C86349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339D4A32"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14:paraId="6D0B64C5"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34342DD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50D05E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3000" w:type="dxa"/>
            <w:tcBorders>
              <w:top w:val="single" w:sz="6" w:space="0" w:color="auto"/>
              <w:left w:val="single" w:sz="6" w:space="0" w:color="auto"/>
              <w:bottom w:val="single" w:sz="6" w:space="0" w:color="auto"/>
            </w:tcBorders>
          </w:tcPr>
          <w:p w14:paraId="64D8D25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попередній період</w:t>
            </w:r>
          </w:p>
        </w:tc>
      </w:tr>
      <w:tr w:rsidR="00000000" w14:paraId="57FA3AD6"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6925C6B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69460D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2 644 611</w:t>
            </w:r>
          </w:p>
        </w:tc>
        <w:tc>
          <w:tcPr>
            <w:tcW w:w="3000" w:type="dxa"/>
            <w:tcBorders>
              <w:top w:val="single" w:sz="6" w:space="0" w:color="auto"/>
              <w:left w:val="single" w:sz="6" w:space="0" w:color="auto"/>
              <w:bottom w:val="single" w:sz="6" w:space="0" w:color="auto"/>
            </w:tcBorders>
          </w:tcPr>
          <w:p w14:paraId="3F73C9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2 242 287</w:t>
            </w:r>
          </w:p>
        </w:tc>
      </w:tr>
      <w:tr w:rsidR="00000000" w14:paraId="19460341"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35AFFC0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3B63B18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w:t>
            </w:r>
          </w:p>
        </w:tc>
        <w:tc>
          <w:tcPr>
            <w:tcW w:w="3000" w:type="dxa"/>
            <w:tcBorders>
              <w:top w:val="single" w:sz="6" w:space="0" w:color="auto"/>
              <w:left w:val="single" w:sz="6" w:space="0" w:color="auto"/>
              <w:bottom w:val="single" w:sz="6" w:space="0" w:color="auto"/>
            </w:tcBorders>
          </w:tcPr>
          <w:p w14:paraId="7A9DF82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w:t>
            </w:r>
          </w:p>
        </w:tc>
      </w:tr>
      <w:tr w:rsidR="00000000" w14:paraId="13241673"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2DF79DA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0F6886C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w:t>
            </w:r>
          </w:p>
        </w:tc>
        <w:tc>
          <w:tcPr>
            <w:tcW w:w="3000" w:type="dxa"/>
            <w:tcBorders>
              <w:top w:val="single" w:sz="6" w:space="0" w:color="auto"/>
              <w:left w:val="single" w:sz="6" w:space="0" w:color="auto"/>
              <w:bottom w:val="single" w:sz="6" w:space="0" w:color="auto"/>
            </w:tcBorders>
          </w:tcPr>
          <w:p w14:paraId="3807827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w:t>
            </w:r>
          </w:p>
        </w:tc>
      </w:tr>
      <w:tr w:rsidR="00000000" w14:paraId="2E5FFA39"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6A7DF4B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7D231B5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140 447</w:t>
            </w:r>
          </w:p>
        </w:tc>
        <w:tc>
          <w:tcPr>
            <w:tcW w:w="3000" w:type="dxa"/>
            <w:tcBorders>
              <w:top w:val="single" w:sz="6" w:space="0" w:color="auto"/>
              <w:left w:val="single" w:sz="6" w:space="0" w:color="auto"/>
              <w:bottom w:val="single" w:sz="6" w:space="0" w:color="auto"/>
            </w:tcBorders>
          </w:tcPr>
          <w:p w14:paraId="46DD2E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119 081</w:t>
            </w:r>
          </w:p>
        </w:tc>
      </w:tr>
      <w:tr w:rsidR="00000000" w14:paraId="54BC166B"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330F288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6792E2B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3000" w:type="dxa"/>
            <w:tcBorders>
              <w:top w:val="single" w:sz="6" w:space="0" w:color="auto"/>
              <w:left w:val="single" w:sz="6" w:space="0" w:color="auto"/>
              <w:bottom w:val="single" w:sz="6" w:space="0" w:color="auto"/>
            </w:tcBorders>
          </w:tcPr>
          <w:p w14:paraId="091063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w:t>
            </w:r>
          </w:p>
        </w:tc>
      </w:tr>
      <w:tr w:rsidR="00000000" w14:paraId="19918A46" w14:textId="77777777">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14:paraId="4EB4D8F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Висновок</w:t>
            </w:r>
          </w:p>
        </w:tc>
        <w:tc>
          <w:tcPr>
            <w:tcW w:w="8740" w:type="dxa"/>
            <w:gridSpan w:val="3"/>
            <w:tcBorders>
              <w:top w:val="single" w:sz="6" w:space="0" w:color="auto"/>
              <w:left w:val="single" w:sz="6" w:space="0" w:color="auto"/>
              <w:bottom w:val="single" w:sz="6" w:space="0" w:color="auto"/>
            </w:tcBorders>
          </w:tcPr>
          <w:p w14:paraId="0AF5651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Розрахунок вартостi чистих активiв вiдбувався вiдповiдно до пункту 2 статтi 16 Закону України "Про акцiонернi товариства" № 2465-IX вiд 27.07.2022 р. та "Методичних рекомендацiй щодо визначення вартостi чистих активiв акцiонерних товариств", затверджених рiшенням Державної комiсiї з цiнних паперiв та фондового ринку вiд 17.11.2004 р. N485. Визначення вартостi чистих активiв проводилося за формулою: Власний капiтал (вартiсть чистих активiв) товариства - рiзниця мiж сукупною вартiстю активiв товариства та ва</w:t>
            </w:r>
            <w:r>
              <w:rPr>
                <w:rFonts w:ascii="Times New Roman CYR" w:hAnsi="Times New Roman CYR" w:cs="Times New Roman CYR"/>
                <w:kern w:val="0"/>
                <w:sz w:val="22"/>
                <w:szCs w:val="22"/>
              </w:rPr>
              <w:t xml:space="preserve">ртiстю його зобов'язань перед iншими особами. Спiввiдношення </w:t>
            </w:r>
            <w:r>
              <w:rPr>
                <w:rFonts w:ascii="Times New Roman CYR" w:hAnsi="Times New Roman CYR" w:cs="Times New Roman CYR"/>
                <w:kern w:val="0"/>
                <w:sz w:val="22"/>
                <w:szCs w:val="22"/>
              </w:rPr>
              <w:lastRenderedPageBreak/>
              <w:t>чистих активiв на кiнець звiтного перiоду (2644611 тис.грн. ) до статутного капiталу на кiнець звiтного перiоду (1883 тис.грн. ) - 140447%. Спiввiдношення чистих активiв на кiнець звiтного перiоду (2644611 тис.грн. ) до чистих активiв на кiнець попереднього перiоду (2242287 тис.грн. ) - 118%. Вимоги п.2 ст. 16 Закону України "Про акцiонернi товариства" дотримуються.</w:t>
            </w:r>
          </w:p>
          <w:p w14:paraId="0334BF0A"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7F72564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6064D123"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14:paraId="0E56ED36"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16B8028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2C46EF6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385C33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4439BF4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766B52D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погашення</w:t>
            </w:r>
          </w:p>
        </w:tc>
      </w:tr>
      <w:tr w:rsidR="00000000" w14:paraId="6F0E1C12"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37D6ED1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4B522ED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ADCFE9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235 100</w:t>
            </w:r>
          </w:p>
        </w:tc>
        <w:tc>
          <w:tcPr>
            <w:tcW w:w="1940" w:type="dxa"/>
            <w:tcBorders>
              <w:top w:val="single" w:sz="6" w:space="0" w:color="auto"/>
              <w:left w:val="single" w:sz="6" w:space="0" w:color="auto"/>
              <w:bottom w:val="single" w:sz="6" w:space="0" w:color="auto"/>
              <w:right w:val="single" w:sz="6" w:space="0" w:color="auto"/>
            </w:tcBorders>
            <w:vAlign w:val="center"/>
          </w:tcPr>
          <w:p w14:paraId="7B20086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6EF229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FDA3F33"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0B57C10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4093C43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E484DAB"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14:paraId="72B7789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tcPr>
          <w:p w14:paraId="039A3CC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29.12.2023</w:t>
            </w:r>
          </w:p>
        </w:tc>
        <w:tc>
          <w:tcPr>
            <w:tcW w:w="1480" w:type="dxa"/>
            <w:tcBorders>
              <w:top w:val="single" w:sz="6" w:space="0" w:color="auto"/>
              <w:left w:val="single" w:sz="6" w:space="0" w:color="auto"/>
              <w:bottom w:val="single" w:sz="6" w:space="0" w:color="auto"/>
              <w:right w:val="single" w:sz="6" w:space="0" w:color="auto"/>
            </w:tcBorders>
          </w:tcPr>
          <w:p w14:paraId="4F1B7FB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235 100</w:t>
            </w:r>
          </w:p>
        </w:tc>
        <w:tc>
          <w:tcPr>
            <w:tcW w:w="1940" w:type="dxa"/>
            <w:tcBorders>
              <w:top w:val="single" w:sz="6" w:space="0" w:color="auto"/>
              <w:left w:val="single" w:sz="6" w:space="0" w:color="auto"/>
              <w:bottom w:val="single" w:sz="6" w:space="0" w:color="auto"/>
              <w:right w:val="single" w:sz="6" w:space="0" w:color="auto"/>
            </w:tcBorders>
          </w:tcPr>
          <w:p w14:paraId="6CFFFB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15,75</w:t>
            </w:r>
          </w:p>
        </w:tc>
        <w:tc>
          <w:tcPr>
            <w:tcW w:w="1328" w:type="dxa"/>
            <w:tcBorders>
              <w:top w:val="single" w:sz="6" w:space="0" w:color="auto"/>
              <w:left w:val="single" w:sz="6" w:space="0" w:color="auto"/>
              <w:bottom w:val="single" w:sz="6" w:space="0" w:color="auto"/>
            </w:tcBorders>
          </w:tcPr>
          <w:p w14:paraId="334F24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02.01.2024</w:t>
            </w:r>
          </w:p>
        </w:tc>
      </w:tr>
      <w:tr w:rsidR="00000000" w14:paraId="292F8CAA"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36D8947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2DC3FF6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32912E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9C688D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07BD1E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0BE76C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0342D2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0CB4020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72149F11"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5DED91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613C0DA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7E534A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F22F61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4B46B18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45D547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C273D0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85CCD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B4DE5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466CA29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0A6A6E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CE40EA7"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B7E38B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451A18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AADF5C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EBBCA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547571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6F2540A7"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412F0A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45A774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43FCF7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F072C5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13C3E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5B0F873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32E2EE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DC9D42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2DC57D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A2215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48B176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6AB2F611"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7DC263C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579AD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80B28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F2014A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CC4F33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F76E306"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E96E4C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DD2C69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A1A2A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29 308</w:t>
            </w:r>
          </w:p>
        </w:tc>
        <w:tc>
          <w:tcPr>
            <w:tcW w:w="1940" w:type="dxa"/>
            <w:tcBorders>
              <w:top w:val="single" w:sz="6" w:space="0" w:color="auto"/>
              <w:left w:val="single" w:sz="6" w:space="0" w:color="auto"/>
              <w:bottom w:val="single" w:sz="6" w:space="0" w:color="auto"/>
              <w:right w:val="single" w:sz="6" w:space="0" w:color="auto"/>
            </w:tcBorders>
            <w:vAlign w:val="center"/>
          </w:tcPr>
          <w:p w14:paraId="28D5F8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39E001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FE08859"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EF047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02F3F0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34C70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68E23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5ED68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5DD36777"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73DB962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4A1C052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FFE587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1 520 202</w:t>
            </w:r>
          </w:p>
        </w:tc>
        <w:tc>
          <w:tcPr>
            <w:tcW w:w="1940" w:type="dxa"/>
            <w:tcBorders>
              <w:top w:val="single" w:sz="6" w:space="0" w:color="auto"/>
              <w:left w:val="single" w:sz="6" w:space="0" w:color="auto"/>
              <w:bottom w:val="single" w:sz="6" w:space="0" w:color="auto"/>
              <w:right w:val="single" w:sz="6" w:space="0" w:color="auto"/>
            </w:tcBorders>
            <w:vAlign w:val="center"/>
          </w:tcPr>
          <w:p w14:paraId="4B93FED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7A4F18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0015CEA0"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23537B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1EA8430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81F1BB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1 784 610</w:t>
            </w:r>
          </w:p>
        </w:tc>
        <w:tc>
          <w:tcPr>
            <w:tcW w:w="1940" w:type="dxa"/>
            <w:tcBorders>
              <w:top w:val="single" w:sz="6" w:space="0" w:color="auto"/>
              <w:left w:val="single" w:sz="6" w:space="0" w:color="auto"/>
              <w:bottom w:val="single" w:sz="6" w:space="0" w:color="auto"/>
              <w:right w:val="single" w:sz="6" w:space="0" w:color="auto"/>
            </w:tcBorders>
            <w:vAlign w:val="center"/>
          </w:tcPr>
          <w:p w14:paraId="1C76DE4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738FB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bl>
    <w:p w14:paraId="5FA4712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42965C6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1D64DF5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про обсяг</w:t>
      </w:r>
      <w:r>
        <w:rPr>
          <w:rFonts w:ascii="Times New Roman CYR" w:hAnsi="Times New Roman CYR" w:cs="Times New Roman CYR"/>
          <w:b/>
          <w:bCs/>
          <w:kern w:val="0"/>
        </w:rPr>
        <w:t>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000000" w14:paraId="45AEE4ED" w14:textId="77777777">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14:paraId="41D834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1E5708C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0BF79C7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353B797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Обсяг реалізованої продукції</w:t>
            </w:r>
          </w:p>
        </w:tc>
      </w:tr>
      <w:tr w:rsidR="00000000" w14:paraId="49075CE8" w14:textId="77777777">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14:paraId="619142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1CA279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000" w:type="dxa"/>
            <w:tcBorders>
              <w:top w:val="single" w:sz="6" w:space="0" w:color="auto"/>
              <w:left w:val="single" w:sz="6" w:space="0" w:color="auto"/>
              <w:bottom w:val="single" w:sz="6" w:space="0" w:color="auto"/>
              <w:right w:val="single" w:sz="6" w:space="0" w:color="auto"/>
            </w:tcBorders>
            <w:vAlign w:val="center"/>
          </w:tcPr>
          <w:p w14:paraId="202C4AB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5E3A611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14:paraId="00AB5B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48DBE3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36C60A0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14:paraId="667C48F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відсотках до всієї реалізованої продукції</w:t>
            </w:r>
          </w:p>
        </w:tc>
      </w:tr>
      <w:tr w:rsidR="00000000" w14:paraId="0875E53F" w14:textId="77777777">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3A8406D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500" w:type="dxa"/>
            <w:tcBorders>
              <w:top w:val="single" w:sz="6" w:space="0" w:color="auto"/>
              <w:left w:val="single" w:sz="6" w:space="0" w:color="auto"/>
              <w:bottom w:val="single" w:sz="6" w:space="0" w:color="auto"/>
              <w:right w:val="single" w:sz="6" w:space="0" w:color="auto"/>
            </w:tcBorders>
            <w:vAlign w:val="center"/>
          </w:tcPr>
          <w:p w14:paraId="76069E9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77002F0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5D18DD5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200" w:type="dxa"/>
            <w:tcBorders>
              <w:top w:val="single" w:sz="6" w:space="0" w:color="auto"/>
              <w:left w:val="single" w:sz="6" w:space="0" w:color="auto"/>
              <w:bottom w:val="single" w:sz="6" w:space="0" w:color="auto"/>
              <w:right w:val="single" w:sz="6" w:space="0" w:color="auto"/>
            </w:tcBorders>
            <w:vAlign w:val="center"/>
          </w:tcPr>
          <w:p w14:paraId="1DF0E6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3DCFE19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6B0DE8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2200" w:type="dxa"/>
            <w:tcBorders>
              <w:top w:val="single" w:sz="6" w:space="0" w:color="auto"/>
              <w:left w:val="single" w:sz="6" w:space="0" w:color="auto"/>
              <w:bottom w:val="single" w:sz="6" w:space="0" w:color="auto"/>
            </w:tcBorders>
            <w:vAlign w:val="center"/>
          </w:tcPr>
          <w:p w14:paraId="0FA001E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7EB41FFD" w14:textId="77777777">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14:paraId="2DE84BB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500" w:type="dxa"/>
            <w:tcBorders>
              <w:top w:val="single" w:sz="6" w:space="0" w:color="auto"/>
              <w:left w:val="single" w:sz="6" w:space="0" w:color="auto"/>
              <w:bottom w:val="single" w:sz="6" w:space="0" w:color="auto"/>
              <w:right w:val="single" w:sz="6" w:space="0" w:color="auto"/>
            </w:tcBorders>
          </w:tcPr>
          <w:p w14:paraId="43ACD32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Кондитерськi вироби+какао-продукцiя</w:t>
            </w:r>
          </w:p>
        </w:tc>
        <w:tc>
          <w:tcPr>
            <w:tcW w:w="2000" w:type="dxa"/>
            <w:tcBorders>
              <w:top w:val="single" w:sz="6" w:space="0" w:color="auto"/>
              <w:left w:val="single" w:sz="6" w:space="0" w:color="auto"/>
              <w:bottom w:val="single" w:sz="6" w:space="0" w:color="auto"/>
              <w:right w:val="single" w:sz="6" w:space="0" w:color="auto"/>
            </w:tcBorders>
          </w:tcPr>
          <w:p w14:paraId="582CDFF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9979</w:t>
            </w:r>
          </w:p>
        </w:tc>
        <w:tc>
          <w:tcPr>
            <w:tcW w:w="2000" w:type="dxa"/>
            <w:tcBorders>
              <w:top w:val="single" w:sz="6" w:space="0" w:color="auto"/>
              <w:left w:val="single" w:sz="6" w:space="0" w:color="auto"/>
              <w:bottom w:val="single" w:sz="6" w:space="0" w:color="auto"/>
              <w:right w:val="single" w:sz="6" w:space="0" w:color="auto"/>
            </w:tcBorders>
          </w:tcPr>
          <w:p w14:paraId="4C9A244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2613436</w:t>
            </w:r>
          </w:p>
        </w:tc>
        <w:tc>
          <w:tcPr>
            <w:tcW w:w="2200" w:type="dxa"/>
            <w:tcBorders>
              <w:top w:val="single" w:sz="6" w:space="0" w:color="auto"/>
              <w:left w:val="single" w:sz="6" w:space="0" w:color="auto"/>
              <w:bottom w:val="single" w:sz="6" w:space="0" w:color="auto"/>
              <w:right w:val="single" w:sz="6" w:space="0" w:color="auto"/>
            </w:tcBorders>
          </w:tcPr>
          <w:p w14:paraId="506DE40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87</w:t>
            </w:r>
          </w:p>
        </w:tc>
        <w:tc>
          <w:tcPr>
            <w:tcW w:w="2000" w:type="dxa"/>
            <w:tcBorders>
              <w:top w:val="single" w:sz="6" w:space="0" w:color="auto"/>
              <w:left w:val="single" w:sz="6" w:space="0" w:color="auto"/>
              <w:bottom w:val="single" w:sz="6" w:space="0" w:color="auto"/>
              <w:right w:val="single" w:sz="6" w:space="0" w:color="auto"/>
            </w:tcBorders>
          </w:tcPr>
          <w:p w14:paraId="22D1912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15775</w:t>
            </w:r>
          </w:p>
        </w:tc>
        <w:tc>
          <w:tcPr>
            <w:tcW w:w="2000" w:type="dxa"/>
            <w:tcBorders>
              <w:top w:val="single" w:sz="6" w:space="0" w:color="auto"/>
              <w:left w:val="single" w:sz="6" w:space="0" w:color="auto"/>
              <w:bottom w:val="single" w:sz="6" w:space="0" w:color="auto"/>
              <w:right w:val="single" w:sz="6" w:space="0" w:color="auto"/>
            </w:tcBorders>
          </w:tcPr>
          <w:p w14:paraId="5CBB1A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3039785</w:t>
            </w:r>
          </w:p>
        </w:tc>
        <w:tc>
          <w:tcPr>
            <w:tcW w:w="2200" w:type="dxa"/>
            <w:tcBorders>
              <w:top w:val="single" w:sz="6" w:space="0" w:color="auto"/>
              <w:left w:val="single" w:sz="6" w:space="0" w:color="auto"/>
              <w:bottom w:val="single" w:sz="6" w:space="0" w:color="auto"/>
            </w:tcBorders>
          </w:tcPr>
          <w:p w14:paraId="10F0BD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50</w:t>
            </w:r>
          </w:p>
        </w:tc>
      </w:tr>
      <w:tr w:rsidR="00000000" w14:paraId="068517B4" w14:textId="77777777">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14:paraId="5F3C31C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500" w:type="dxa"/>
            <w:tcBorders>
              <w:top w:val="single" w:sz="6" w:space="0" w:color="auto"/>
              <w:left w:val="single" w:sz="6" w:space="0" w:color="auto"/>
              <w:bottom w:val="single" w:sz="6" w:space="0" w:color="auto"/>
              <w:right w:val="single" w:sz="6" w:space="0" w:color="auto"/>
            </w:tcBorders>
          </w:tcPr>
          <w:p w14:paraId="234DBB4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Печиво</w:t>
            </w:r>
          </w:p>
        </w:tc>
        <w:tc>
          <w:tcPr>
            <w:tcW w:w="2000" w:type="dxa"/>
            <w:tcBorders>
              <w:top w:val="single" w:sz="6" w:space="0" w:color="auto"/>
              <w:left w:val="single" w:sz="6" w:space="0" w:color="auto"/>
              <w:bottom w:val="single" w:sz="6" w:space="0" w:color="auto"/>
              <w:right w:val="single" w:sz="6" w:space="0" w:color="auto"/>
            </w:tcBorders>
          </w:tcPr>
          <w:p w14:paraId="7815E6B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1494</w:t>
            </w:r>
          </w:p>
        </w:tc>
        <w:tc>
          <w:tcPr>
            <w:tcW w:w="2000" w:type="dxa"/>
            <w:tcBorders>
              <w:top w:val="single" w:sz="6" w:space="0" w:color="auto"/>
              <w:left w:val="single" w:sz="6" w:space="0" w:color="auto"/>
              <w:bottom w:val="single" w:sz="6" w:space="0" w:color="auto"/>
              <w:right w:val="single" w:sz="6" w:space="0" w:color="auto"/>
            </w:tcBorders>
          </w:tcPr>
          <w:p w14:paraId="7B419B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391454</w:t>
            </w:r>
          </w:p>
        </w:tc>
        <w:tc>
          <w:tcPr>
            <w:tcW w:w="2200" w:type="dxa"/>
            <w:tcBorders>
              <w:top w:val="single" w:sz="6" w:space="0" w:color="auto"/>
              <w:left w:val="single" w:sz="6" w:space="0" w:color="auto"/>
              <w:bottom w:val="single" w:sz="6" w:space="0" w:color="auto"/>
              <w:right w:val="single" w:sz="6" w:space="0" w:color="auto"/>
            </w:tcBorders>
          </w:tcPr>
          <w:p w14:paraId="1EFC478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w:t>
            </w:r>
          </w:p>
        </w:tc>
        <w:tc>
          <w:tcPr>
            <w:tcW w:w="2000" w:type="dxa"/>
            <w:tcBorders>
              <w:top w:val="single" w:sz="6" w:space="0" w:color="auto"/>
              <w:left w:val="single" w:sz="6" w:space="0" w:color="auto"/>
              <w:bottom w:val="single" w:sz="6" w:space="0" w:color="auto"/>
              <w:right w:val="single" w:sz="6" w:space="0" w:color="auto"/>
            </w:tcBorders>
          </w:tcPr>
          <w:p w14:paraId="4F50F05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7443</w:t>
            </w:r>
          </w:p>
        </w:tc>
        <w:tc>
          <w:tcPr>
            <w:tcW w:w="2000" w:type="dxa"/>
            <w:tcBorders>
              <w:top w:val="single" w:sz="6" w:space="0" w:color="auto"/>
              <w:left w:val="single" w:sz="6" w:space="0" w:color="auto"/>
              <w:bottom w:val="single" w:sz="6" w:space="0" w:color="auto"/>
              <w:right w:val="single" w:sz="6" w:space="0" w:color="auto"/>
            </w:tcBorders>
          </w:tcPr>
          <w:p w14:paraId="6F22165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1259287</w:t>
            </w:r>
          </w:p>
        </w:tc>
        <w:tc>
          <w:tcPr>
            <w:tcW w:w="2200" w:type="dxa"/>
            <w:tcBorders>
              <w:top w:val="single" w:sz="6" w:space="0" w:color="auto"/>
              <w:left w:val="single" w:sz="6" w:space="0" w:color="auto"/>
              <w:bottom w:val="single" w:sz="6" w:space="0" w:color="auto"/>
            </w:tcBorders>
          </w:tcPr>
          <w:p w14:paraId="09BF2F4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w:t>
            </w:r>
          </w:p>
        </w:tc>
      </w:tr>
      <w:tr w:rsidR="00000000" w14:paraId="482F665B" w14:textId="77777777">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14:paraId="3AEAF94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500" w:type="dxa"/>
            <w:tcBorders>
              <w:top w:val="single" w:sz="6" w:space="0" w:color="auto"/>
              <w:left w:val="single" w:sz="6" w:space="0" w:color="auto"/>
              <w:bottom w:val="single" w:sz="6" w:space="0" w:color="auto"/>
              <w:right w:val="single" w:sz="6" w:space="0" w:color="auto"/>
            </w:tcBorders>
          </w:tcPr>
          <w:p w14:paraId="63691A8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Солонi закуски</w:t>
            </w:r>
          </w:p>
        </w:tc>
        <w:tc>
          <w:tcPr>
            <w:tcW w:w="2000" w:type="dxa"/>
            <w:tcBorders>
              <w:top w:val="single" w:sz="6" w:space="0" w:color="auto"/>
              <w:left w:val="single" w:sz="6" w:space="0" w:color="auto"/>
              <w:bottom w:val="single" w:sz="6" w:space="0" w:color="auto"/>
              <w:right w:val="single" w:sz="6" w:space="0" w:color="auto"/>
            </w:tcBorders>
          </w:tcPr>
          <w:p w14:paraId="522BF78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7704</w:t>
            </w:r>
          </w:p>
        </w:tc>
        <w:tc>
          <w:tcPr>
            <w:tcW w:w="2000" w:type="dxa"/>
            <w:tcBorders>
              <w:top w:val="single" w:sz="6" w:space="0" w:color="auto"/>
              <w:left w:val="single" w:sz="6" w:space="0" w:color="auto"/>
              <w:bottom w:val="single" w:sz="6" w:space="0" w:color="auto"/>
              <w:right w:val="single" w:sz="6" w:space="0" w:color="auto"/>
            </w:tcBorders>
          </w:tcPr>
          <w:p w14:paraId="7BC2BB6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917274</w:t>
            </w:r>
          </w:p>
        </w:tc>
        <w:tc>
          <w:tcPr>
            <w:tcW w:w="2200" w:type="dxa"/>
            <w:tcBorders>
              <w:top w:val="single" w:sz="6" w:space="0" w:color="auto"/>
              <w:left w:val="single" w:sz="6" w:space="0" w:color="auto"/>
              <w:bottom w:val="single" w:sz="6" w:space="0" w:color="auto"/>
              <w:right w:val="single" w:sz="6" w:space="0" w:color="auto"/>
            </w:tcBorders>
          </w:tcPr>
          <w:p w14:paraId="789BFF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2000" w:type="dxa"/>
            <w:tcBorders>
              <w:top w:val="single" w:sz="6" w:space="0" w:color="auto"/>
              <w:left w:val="single" w:sz="6" w:space="0" w:color="auto"/>
              <w:bottom w:val="single" w:sz="6" w:space="0" w:color="auto"/>
              <w:right w:val="single" w:sz="6" w:space="0" w:color="auto"/>
            </w:tcBorders>
          </w:tcPr>
          <w:p w14:paraId="13B84EC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7462</w:t>
            </w:r>
          </w:p>
        </w:tc>
        <w:tc>
          <w:tcPr>
            <w:tcW w:w="2000" w:type="dxa"/>
            <w:tcBorders>
              <w:top w:val="single" w:sz="6" w:space="0" w:color="auto"/>
              <w:left w:val="single" w:sz="6" w:space="0" w:color="auto"/>
              <w:bottom w:val="single" w:sz="6" w:space="0" w:color="auto"/>
              <w:right w:val="single" w:sz="6" w:space="0" w:color="auto"/>
            </w:tcBorders>
          </w:tcPr>
          <w:p w14:paraId="20B2CEE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1419772</w:t>
            </w:r>
          </w:p>
        </w:tc>
        <w:tc>
          <w:tcPr>
            <w:tcW w:w="2200" w:type="dxa"/>
            <w:tcBorders>
              <w:top w:val="single" w:sz="6" w:space="0" w:color="auto"/>
              <w:left w:val="single" w:sz="6" w:space="0" w:color="auto"/>
              <w:bottom w:val="single" w:sz="6" w:space="0" w:color="auto"/>
            </w:tcBorders>
          </w:tcPr>
          <w:p w14:paraId="06B77C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w:t>
            </w:r>
          </w:p>
        </w:tc>
      </w:tr>
      <w:tr w:rsidR="00000000" w14:paraId="3A044341" w14:textId="77777777">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14:paraId="5D768B9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500" w:type="dxa"/>
            <w:tcBorders>
              <w:top w:val="single" w:sz="6" w:space="0" w:color="auto"/>
              <w:left w:val="single" w:sz="6" w:space="0" w:color="auto"/>
              <w:bottom w:val="single" w:sz="6" w:space="0" w:color="auto"/>
              <w:right w:val="single" w:sz="6" w:space="0" w:color="auto"/>
            </w:tcBorders>
          </w:tcPr>
          <w:p w14:paraId="27D54A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Жувальна гумка</w:t>
            </w:r>
          </w:p>
        </w:tc>
        <w:tc>
          <w:tcPr>
            <w:tcW w:w="2000" w:type="dxa"/>
            <w:tcBorders>
              <w:top w:val="single" w:sz="6" w:space="0" w:color="auto"/>
              <w:left w:val="single" w:sz="6" w:space="0" w:color="auto"/>
              <w:bottom w:val="single" w:sz="6" w:space="0" w:color="auto"/>
              <w:right w:val="single" w:sz="6" w:space="0" w:color="auto"/>
            </w:tcBorders>
          </w:tcPr>
          <w:p w14:paraId="3C8722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2000" w:type="dxa"/>
            <w:tcBorders>
              <w:top w:val="single" w:sz="6" w:space="0" w:color="auto"/>
              <w:left w:val="single" w:sz="6" w:space="0" w:color="auto"/>
              <w:bottom w:val="single" w:sz="6" w:space="0" w:color="auto"/>
              <w:right w:val="single" w:sz="6" w:space="0" w:color="auto"/>
            </w:tcBorders>
          </w:tcPr>
          <w:p w14:paraId="274273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2200" w:type="dxa"/>
            <w:tcBorders>
              <w:top w:val="single" w:sz="6" w:space="0" w:color="auto"/>
              <w:left w:val="single" w:sz="6" w:space="0" w:color="auto"/>
              <w:bottom w:val="single" w:sz="6" w:space="0" w:color="auto"/>
              <w:right w:val="single" w:sz="6" w:space="0" w:color="auto"/>
            </w:tcBorders>
          </w:tcPr>
          <w:p w14:paraId="3B65D0C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2000" w:type="dxa"/>
            <w:tcBorders>
              <w:top w:val="single" w:sz="6" w:space="0" w:color="auto"/>
              <w:left w:val="single" w:sz="6" w:space="0" w:color="auto"/>
              <w:bottom w:val="single" w:sz="6" w:space="0" w:color="auto"/>
              <w:right w:val="single" w:sz="6" w:space="0" w:color="auto"/>
            </w:tcBorders>
          </w:tcPr>
          <w:p w14:paraId="4C07CE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730</w:t>
            </w:r>
          </w:p>
        </w:tc>
        <w:tc>
          <w:tcPr>
            <w:tcW w:w="2000" w:type="dxa"/>
            <w:tcBorders>
              <w:top w:val="single" w:sz="6" w:space="0" w:color="auto"/>
              <w:left w:val="single" w:sz="6" w:space="0" w:color="auto"/>
              <w:bottom w:val="single" w:sz="6" w:space="0" w:color="auto"/>
              <w:right w:val="single" w:sz="6" w:space="0" w:color="auto"/>
            </w:tcBorders>
          </w:tcPr>
          <w:p w14:paraId="627A3A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313227</w:t>
            </w:r>
          </w:p>
        </w:tc>
        <w:tc>
          <w:tcPr>
            <w:tcW w:w="2200" w:type="dxa"/>
            <w:tcBorders>
              <w:top w:val="single" w:sz="6" w:space="0" w:color="auto"/>
              <w:left w:val="single" w:sz="6" w:space="0" w:color="auto"/>
              <w:bottom w:val="single" w:sz="6" w:space="0" w:color="auto"/>
            </w:tcBorders>
          </w:tcPr>
          <w:p w14:paraId="0613A09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bl>
    <w:p w14:paraId="5094E74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7B78B63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8" w:h="11906" w:orient="landscape"/>
          <w:pgMar w:top="570" w:right="720" w:bottom="570" w:left="720" w:header="708" w:footer="708" w:gutter="0"/>
          <w:cols w:space="720"/>
          <w:noEndnote/>
        </w:sectPr>
      </w:pPr>
    </w:p>
    <w:p w14:paraId="60F3B47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000000" w14:paraId="39E4E156" w14:textId="77777777">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14:paraId="005E70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420DC3D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Склад витрат</w:t>
            </w:r>
          </w:p>
        </w:tc>
        <w:tc>
          <w:tcPr>
            <w:tcW w:w="5900" w:type="dxa"/>
            <w:tcBorders>
              <w:top w:val="single" w:sz="6" w:space="0" w:color="auto"/>
              <w:left w:val="single" w:sz="6" w:space="0" w:color="auto"/>
              <w:bottom w:val="single" w:sz="6" w:space="0" w:color="auto"/>
            </w:tcBorders>
            <w:vAlign w:val="center"/>
          </w:tcPr>
          <w:p w14:paraId="251F394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від загальної собівартості реалізованої продукції (у відсотках)</w:t>
            </w:r>
          </w:p>
        </w:tc>
      </w:tr>
      <w:tr w:rsidR="00000000" w14:paraId="59610798" w14:textId="77777777">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14:paraId="1CA56ED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300" w:type="dxa"/>
            <w:tcBorders>
              <w:top w:val="single" w:sz="6" w:space="0" w:color="auto"/>
              <w:left w:val="single" w:sz="6" w:space="0" w:color="auto"/>
              <w:bottom w:val="single" w:sz="6" w:space="0" w:color="auto"/>
              <w:right w:val="single" w:sz="6" w:space="0" w:color="auto"/>
            </w:tcBorders>
            <w:vAlign w:val="center"/>
          </w:tcPr>
          <w:p w14:paraId="119A1CB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5900" w:type="dxa"/>
            <w:tcBorders>
              <w:top w:val="single" w:sz="6" w:space="0" w:color="auto"/>
              <w:left w:val="single" w:sz="6" w:space="0" w:color="auto"/>
              <w:bottom w:val="single" w:sz="6" w:space="0" w:color="auto"/>
            </w:tcBorders>
            <w:vAlign w:val="center"/>
          </w:tcPr>
          <w:p w14:paraId="604BDCC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000000" w14:paraId="308059AA" w14:textId="77777777">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14:paraId="7A6D3B7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300" w:type="dxa"/>
            <w:tcBorders>
              <w:top w:val="single" w:sz="6" w:space="0" w:color="auto"/>
              <w:left w:val="single" w:sz="6" w:space="0" w:color="auto"/>
              <w:bottom w:val="single" w:sz="6" w:space="0" w:color="auto"/>
              <w:right w:val="single" w:sz="6" w:space="0" w:color="auto"/>
            </w:tcBorders>
          </w:tcPr>
          <w:p w14:paraId="4B9032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собiвартiсть реалiзованої готової продукцiї</w:t>
            </w:r>
          </w:p>
        </w:tc>
        <w:tc>
          <w:tcPr>
            <w:tcW w:w="5900" w:type="dxa"/>
            <w:tcBorders>
              <w:top w:val="single" w:sz="6" w:space="0" w:color="auto"/>
              <w:left w:val="single" w:sz="6" w:space="0" w:color="auto"/>
              <w:bottom w:val="single" w:sz="6" w:space="0" w:color="auto"/>
            </w:tcBorders>
          </w:tcPr>
          <w:p w14:paraId="75ED6D2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w:t>
            </w:r>
          </w:p>
        </w:tc>
      </w:tr>
      <w:tr w:rsidR="00000000" w14:paraId="71333233" w14:textId="77777777">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14:paraId="46FC9E1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300" w:type="dxa"/>
            <w:tcBorders>
              <w:top w:val="single" w:sz="6" w:space="0" w:color="auto"/>
              <w:left w:val="single" w:sz="6" w:space="0" w:color="auto"/>
              <w:bottom w:val="single" w:sz="6" w:space="0" w:color="auto"/>
              <w:right w:val="single" w:sz="6" w:space="0" w:color="auto"/>
            </w:tcBorders>
          </w:tcPr>
          <w:p w14:paraId="644A595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собiвартiсть реалiзованого  товару</w:t>
            </w:r>
          </w:p>
        </w:tc>
        <w:tc>
          <w:tcPr>
            <w:tcW w:w="5900" w:type="dxa"/>
            <w:tcBorders>
              <w:top w:val="single" w:sz="6" w:space="0" w:color="auto"/>
              <w:left w:val="single" w:sz="6" w:space="0" w:color="auto"/>
              <w:bottom w:val="single" w:sz="6" w:space="0" w:color="auto"/>
            </w:tcBorders>
          </w:tcPr>
          <w:p w14:paraId="1352F9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59</w:t>
            </w:r>
          </w:p>
        </w:tc>
      </w:tr>
    </w:tbl>
    <w:p w14:paraId="5419BAF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7A25CFD2"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15E748E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7A2997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3E511C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 "РЕАЛ ЕКСПЕРТ"</w:t>
            </w:r>
          </w:p>
        </w:tc>
      </w:tr>
      <w:tr w:rsidR="00000000" w14:paraId="2785F2F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4E457F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70FE30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383F33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8C5C82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69BD69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56CFB1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8172E3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3C5509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1E23627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0EA56F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916E38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36971748</w:t>
            </w:r>
          </w:p>
        </w:tc>
      </w:tr>
      <w:tr w:rsidR="00000000" w14:paraId="759446E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E84964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F867D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02002, Україна, мiсто Київ, вулиця Євгена Сверстюка, будинок 11-А, офiс 304</w:t>
            </w:r>
          </w:p>
        </w:tc>
      </w:tr>
      <w:tr w:rsidR="00000000" w14:paraId="638FFBA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470352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FB3E6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сертифiкат № 765/21</w:t>
            </w:r>
          </w:p>
        </w:tc>
      </w:tr>
      <w:tr w:rsidR="00000000" w14:paraId="32BFA1A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5B5AE6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5F067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Фонд державного майна України</w:t>
            </w:r>
          </w:p>
        </w:tc>
      </w:tr>
      <w:tr w:rsidR="00000000" w14:paraId="00F511B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CA9125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D31F79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19.10.2021</w:t>
            </w:r>
          </w:p>
        </w:tc>
      </w:tr>
      <w:tr w:rsidR="00000000" w14:paraId="0019A0C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4B443B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22966E7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0442332122</w:t>
            </w:r>
          </w:p>
        </w:tc>
      </w:tr>
      <w:tr w:rsidR="00000000" w14:paraId="0A05FD4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238E2C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B61D8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69.10 - Дiяльнiсть у сферi права</w:t>
            </w:r>
          </w:p>
          <w:p w14:paraId="43C4EBD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82.99 - Надання iнших допомiжних комерцiйних послуг, н.в.i.у.</w:t>
            </w:r>
          </w:p>
          <w:p w14:paraId="749819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96.09 - Надання iнших iндивiдуальних послуг, н.в.i.у</w:t>
            </w:r>
          </w:p>
        </w:tc>
      </w:tr>
      <w:tr w:rsidR="00000000" w14:paraId="7CC5785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2D2B33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0831E25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Експертна оцiнка майна</w:t>
            </w:r>
          </w:p>
        </w:tc>
      </w:tr>
    </w:tbl>
    <w:p w14:paraId="3EA5FBF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9509FB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0C1123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09E4CB1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АКЦIОНЕРНЕ ТОВАРИСТВО "СТРАХОВА КОМПАНIЯ "ПРОВIДНА"</w:t>
            </w:r>
          </w:p>
        </w:tc>
      </w:tr>
      <w:tr w:rsidR="00000000" w14:paraId="67BFF3A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0B9A0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7920509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1D2C55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9F4150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3D79DF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3253D8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DE9B3E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9A7BDB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4F15870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6B5C15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5C76F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23510137</w:t>
            </w:r>
          </w:p>
        </w:tc>
      </w:tr>
      <w:tr w:rsidR="00000000" w14:paraId="533AD8B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7EA500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30C8AE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03049, Україна, мiсто Київ, пр.Повiтряних Сил, будинок 25</w:t>
            </w:r>
          </w:p>
        </w:tc>
      </w:tr>
      <w:tr w:rsidR="00000000" w14:paraId="21547B9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399329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73758B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 №520927</w:t>
            </w:r>
          </w:p>
        </w:tc>
      </w:tr>
      <w:tr w:rsidR="00000000" w14:paraId="3580679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1153DF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6F73A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що здiйснює державне регулювання у сферi ринкiв фiнансових послуг</w:t>
            </w:r>
          </w:p>
        </w:tc>
      </w:tr>
      <w:tr w:rsidR="00000000" w14:paraId="35C90F2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A137E2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8DC482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16.02.2010</w:t>
            </w:r>
          </w:p>
        </w:tc>
      </w:tr>
      <w:tr w:rsidR="00000000" w14:paraId="376B2D8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D5654B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73FC76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38(044)-492-18-18</w:t>
            </w:r>
          </w:p>
        </w:tc>
      </w:tr>
      <w:tr w:rsidR="00000000" w14:paraId="4DF32A3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5BF50C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78A41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65.12 - Iншi види страхування, крiм страхування життя</w:t>
            </w:r>
          </w:p>
        </w:tc>
      </w:tr>
      <w:tr w:rsidR="00000000" w14:paraId="128507F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4A896F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2B55B8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Добровiльне медичне страхування</w:t>
            </w:r>
          </w:p>
        </w:tc>
      </w:tr>
    </w:tbl>
    <w:p w14:paraId="148E370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455CBB9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E14A1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13E4A3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АКЦIОНЕРНЕ ТОВАРИСТВО "СТРАХОВА КОМПАНIЯ "АРКС"</w:t>
            </w:r>
          </w:p>
        </w:tc>
      </w:tr>
      <w:tr w:rsidR="00000000" w14:paraId="3A17E8A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194A92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0F292FB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4ADD93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24432F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4D641CB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677791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C73EDA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Організаційно-правова форма</w:t>
            </w:r>
          </w:p>
        </w:tc>
        <w:tc>
          <w:tcPr>
            <w:tcW w:w="4000" w:type="dxa"/>
            <w:tcBorders>
              <w:top w:val="single" w:sz="6" w:space="0" w:color="auto"/>
              <w:left w:val="single" w:sz="6" w:space="0" w:color="auto"/>
              <w:bottom w:val="single" w:sz="6" w:space="0" w:color="auto"/>
            </w:tcBorders>
          </w:tcPr>
          <w:p w14:paraId="3671CAA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7257F72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06DA28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900E4D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20474912</w:t>
            </w:r>
          </w:p>
        </w:tc>
      </w:tr>
      <w:tr w:rsidR="00000000" w14:paraId="128FD7F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3B268D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5E6CE4B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04070, Україна, мiсто Київ, вулиця Iллiнська, будинок 8</w:t>
            </w:r>
          </w:p>
        </w:tc>
      </w:tr>
      <w:tr w:rsidR="00000000" w14:paraId="249BC06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35CE62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DF5AA8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 № 483280</w:t>
            </w:r>
          </w:p>
        </w:tc>
      </w:tr>
      <w:tr w:rsidR="00000000" w14:paraId="23F1013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631149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3EF07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що здiйснює державне регулювання у сферi ринкiв фiнансових послуг</w:t>
            </w:r>
          </w:p>
        </w:tc>
      </w:tr>
      <w:tr w:rsidR="00000000" w14:paraId="5CBB762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FC7488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B35744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17.09.2009</w:t>
            </w:r>
          </w:p>
        </w:tc>
      </w:tr>
      <w:tr w:rsidR="00000000" w14:paraId="4E0772C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EAFA6C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539D20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0442200044</w:t>
            </w:r>
          </w:p>
        </w:tc>
      </w:tr>
      <w:tr w:rsidR="00000000" w14:paraId="706B271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ECC546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FCFC2A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66.03.0 - Iншi послуги у сферi страхування</w:t>
            </w:r>
          </w:p>
        </w:tc>
      </w:tr>
      <w:tr w:rsidR="00000000" w14:paraId="41A2A50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9C8179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6C3ED5F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Обов'язкове страхування цивiльної вiдповiдальностi суб'єктiв господарювання за шкоду, яка може бути заподiяна пожежами та аварiями на об'єктах пiдвищеної небезпеки, включаючи пожежовибухонебезпечнi об'єкти та об'єкти, господарська дiяльнiсть на яких може</w:t>
            </w:r>
          </w:p>
        </w:tc>
      </w:tr>
    </w:tbl>
    <w:p w14:paraId="17A261D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943F73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B90AD4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085468C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АКЦIОНЕРНЕ ТОВАРИСТВО "СТРАХОВА КОМПАНIЯ "УНIКА"</w:t>
            </w:r>
          </w:p>
        </w:tc>
      </w:tr>
      <w:tr w:rsidR="00000000" w14:paraId="7555CE4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F70459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012B4DD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9236A3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7D6605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763ACEF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08505B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EAFBE7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672BA5D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14FB6CF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A3804B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219707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20033533</w:t>
            </w:r>
          </w:p>
        </w:tc>
      </w:tr>
      <w:tr w:rsidR="00000000" w14:paraId="7D0EE7C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C90891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1FE7074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04112, Україна, мiсто Київ, вул.Телiги Олени, будинок 6 лiт.В</w:t>
            </w:r>
          </w:p>
        </w:tc>
      </w:tr>
      <w:tr w:rsidR="00000000" w14:paraId="172BBDF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FDFF92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E66C1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АЕ № 293992</w:t>
            </w:r>
          </w:p>
        </w:tc>
      </w:tr>
      <w:tr w:rsidR="00000000" w14:paraId="17F7BC6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4230D5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FC371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що здiйснює державне регулювання у сферi ринкiв фiнансових послуг</w:t>
            </w:r>
          </w:p>
        </w:tc>
      </w:tr>
      <w:tr w:rsidR="00000000" w14:paraId="3BFBE38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604046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328B6D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07.08.2014</w:t>
            </w:r>
          </w:p>
        </w:tc>
      </w:tr>
      <w:tr w:rsidR="00000000" w14:paraId="7D8B315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955529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94E57C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0442256000</w:t>
            </w:r>
          </w:p>
        </w:tc>
      </w:tr>
      <w:tr w:rsidR="00000000" w14:paraId="5054891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FF160C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A1986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65.12 - Iншi види страхування, крiм страхування життя</w:t>
            </w:r>
          </w:p>
        </w:tc>
      </w:tr>
      <w:tr w:rsidR="00000000" w14:paraId="442BFD6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61CEAE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E6DC50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Добровiльне страхування вiд</w:t>
            </w:r>
            <w:r>
              <w:rPr>
                <w:rFonts w:ascii="Times New Roman CYR" w:hAnsi="Times New Roman CYR" w:cs="Times New Roman CYR"/>
                <w:kern w:val="0"/>
                <w:sz w:val="22"/>
                <w:szCs w:val="22"/>
              </w:rPr>
              <w:t>повiдальностi директорiв та посадових осiб</w:t>
            </w:r>
          </w:p>
        </w:tc>
      </w:tr>
    </w:tbl>
    <w:p w14:paraId="66A50ED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531096F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5363CD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CC8166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"СТРАХОВА КОМПАНIЯ "IНГО"</w:t>
            </w:r>
          </w:p>
        </w:tc>
      </w:tr>
      <w:tr w:rsidR="00000000" w14:paraId="2403F18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E7CF71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5B21353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63E84F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6557A6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584550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C9FEF6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7EDA2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38840AD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r>
      <w:tr w:rsidR="00000000" w14:paraId="6F720B7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EB04FC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CF288A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16285602</w:t>
            </w:r>
          </w:p>
        </w:tc>
      </w:tr>
      <w:tr w:rsidR="00000000" w14:paraId="64D665B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52EE46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72FCBC7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01054, Україна, мiсто Київ, вул. Бульварно-Кудрявська, будинок 33</w:t>
            </w:r>
          </w:p>
        </w:tc>
      </w:tr>
      <w:tr w:rsidR="00000000" w14:paraId="39CCA29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009D51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44157A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АВ546569</w:t>
            </w:r>
          </w:p>
        </w:tc>
      </w:tr>
      <w:tr w:rsidR="00000000" w14:paraId="556ABF0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A87786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A226AD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що здiйснює державне регулювання у сферi ринкiв фiнансових послуг</w:t>
            </w:r>
          </w:p>
        </w:tc>
      </w:tr>
      <w:tr w:rsidR="00000000" w14:paraId="334AD8D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B30785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D849B6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16.07.2010</w:t>
            </w:r>
          </w:p>
        </w:tc>
      </w:tr>
      <w:tr w:rsidR="00000000" w14:paraId="4EF1D3A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96DBE2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225607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+38(044)-4902744</w:t>
            </w:r>
          </w:p>
        </w:tc>
      </w:tr>
      <w:tr w:rsidR="00000000" w14:paraId="162BFBD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525AA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86CAB7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65.12 - Iншi види страхування, крiм страхування життя</w:t>
            </w:r>
          </w:p>
          <w:p w14:paraId="6BFA8BD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65.20 - Перестрахування</w:t>
            </w:r>
          </w:p>
          <w:p w14:paraId="05D34C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66.29 - Iнша допомiжна дiяльнiсть у сферi страхування та пенсiйного забезпечення</w:t>
            </w:r>
          </w:p>
        </w:tc>
      </w:tr>
      <w:tr w:rsidR="00000000" w14:paraId="2B978AC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0681E7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564EA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Добровiльне страхування вантажiв, Добровiльне страхування майна та фiнансового ризику перерви господарської дiяльностi</w:t>
            </w:r>
          </w:p>
        </w:tc>
      </w:tr>
    </w:tbl>
    <w:p w14:paraId="6FB3EE3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7F5CA8C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4C608A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1C4788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АКЦIОНЕРНЕ ТОВАРИСТВО "СТРАХОВА КОМПАНIЯ "КОЛОННЕЙД Україна"</w:t>
            </w:r>
          </w:p>
        </w:tc>
      </w:tr>
      <w:tr w:rsidR="00000000" w14:paraId="2F7D9A4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0C42C2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0DF3E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27E37F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0949EF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0A419C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F68BC2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F36056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26791D6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615CF63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005DFB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C63F28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25395057</w:t>
            </w:r>
          </w:p>
        </w:tc>
      </w:tr>
      <w:tr w:rsidR="00000000" w14:paraId="4F65F35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65EAAD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38CDEF6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04070, Україна, мiсто Київ, вулиця Iллiнська, будинок 8</w:t>
            </w:r>
          </w:p>
        </w:tc>
      </w:tr>
      <w:tr w:rsidR="00000000" w14:paraId="02E24A2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35684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CED9E6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 № 546609</w:t>
            </w:r>
          </w:p>
        </w:tc>
      </w:tr>
      <w:tr w:rsidR="00000000" w14:paraId="27C9AD5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E44971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865E3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що здiйснює державне регулювання у сферi ринкiв фiнансових послуг</w:t>
            </w:r>
          </w:p>
        </w:tc>
      </w:tr>
      <w:tr w:rsidR="00000000" w14:paraId="27D1639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F0C851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E5B18C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16.07.2010</w:t>
            </w:r>
          </w:p>
        </w:tc>
      </w:tr>
      <w:tr w:rsidR="00000000" w14:paraId="7ED909F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6E5F8D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5F87FBF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+38(044)-559-95-70</w:t>
            </w:r>
          </w:p>
        </w:tc>
      </w:tr>
      <w:tr w:rsidR="00000000" w14:paraId="68DD3E9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7612D0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608C0E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65.12 - Iншi види страхування, крiм страхування життя</w:t>
            </w:r>
          </w:p>
        </w:tc>
      </w:tr>
      <w:tr w:rsidR="00000000" w14:paraId="6F1564D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AB6736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147532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Добровiльне страхування цивiльної вiдповiдальностi перед третiми особамиДобровiльне страхування вiдповiдальностi директорiв та вищих посадових осiб. Добровiльне страхування майна та фiнансового ризику перерви господарської дiяльностi </w:t>
            </w:r>
          </w:p>
        </w:tc>
      </w:tr>
    </w:tbl>
    <w:p w14:paraId="22CA70A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3669EA1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B50D4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76EB27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ПРЕДСТАВНИЦТВО "АОН ФIНЛЕНД ОI"</w:t>
            </w:r>
          </w:p>
        </w:tc>
      </w:tr>
      <w:tr w:rsidR="00000000" w14:paraId="12CFE2A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846D58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7079FC4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F8D7C3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C37A0D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0D227FC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9618BB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1E3324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340CC80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Представництво</w:t>
            </w:r>
          </w:p>
        </w:tc>
      </w:tr>
      <w:tr w:rsidR="00000000" w14:paraId="5E13179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E3A55B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EF6D3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26602943</w:t>
            </w:r>
          </w:p>
        </w:tc>
      </w:tr>
      <w:tr w:rsidR="00000000" w14:paraId="6F3D7AA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D7BDCE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33D78CB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03680, Україна, мiсто Київ, вул.Амосова Миколи, будинок 12</w:t>
            </w:r>
          </w:p>
        </w:tc>
      </w:tr>
      <w:tr w:rsidR="00000000" w14:paraId="59A4D16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49656E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69051F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31F9289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30285D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2D50A4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615636B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E96923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1749A7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C89E13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37F18B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7DE45B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38(050)-489-80-14</w:t>
            </w:r>
          </w:p>
        </w:tc>
      </w:tr>
      <w:tr w:rsidR="00000000" w14:paraId="666254F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09243D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6424E4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66.22 - Дiяльнiсть страхових агентiв i брокерiв</w:t>
            </w:r>
          </w:p>
          <w:p w14:paraId="48C2B1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70.22 - Консультування з питань комерцiйної дiяльностi й керування</w:t>
            </w:r>
          </w:p>
          <w:p w14:paraId="7028C03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70.20 - Дослiдження кон'юнктури ринку та виявлення громадської думки</w:t>
            </w:r>
          </w:p>
        </w:tc>
      </w:tr>
      <w:tr w:rsidR="00000000" w14:paraId="3898EA9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56386D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3638B58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Посередницькi страховi послуги (медичне страхування i страхування життя)</w:t>
            </w:r>
          </w:p>
        </w:tc>
      </w:tr>
    </w:tbl>
    <w:p w14:paraId="5D6B6D1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55D10C0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D447F2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47CE70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ВIДПОВIДАЛЬНIСТЮ "СДМ ПАРТНЕРИ"</w:t>
            </w:r>
          </w:p>
        </w:tc>
      </w:tr>
      <w:tr w:rsidR="00000000" w14:paraId="3860E5B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FC8116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4950B5F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5E4806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859B7C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4EB673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5B2C79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A1DCE5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4810BE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5FFD282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6A0569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6027553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35851708</w:t>
            </w:r>
          </w:p>
        </w:tc>
      </w:tr>
      <w:tr w:rsidR="00000000" w14:paraId="69FE27D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DFB103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73AA5EA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мiсто Київ, вулиця Василя Тютюнника, будинок 5-В, квартира 103</w:t>
            </w:r>
          </w:p>
        </w:tc>
      </w:tr>
      <w:tr w:rsidR="00000000" w14:paraId="0E06566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64BA15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E79B44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57874FA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42C4C0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26DC0B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332D21B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D086AD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6F8003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E1A1D7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57313E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0ACEE45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380443916317</w:t>
            </w:r>
          </w:p>
        </w:tc>
      </w:tr>
      <w:tr w:rsidR="00000000" w14:paraId="6F686CC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AE94BD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30FBA1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69.10 - Дiяльнiсть у сферi права</w:t>
            </w:r>
          </w:p>
          <w:p w14:paraId="7D62102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69.20 - Дiяльнiсть у сферi бухгалтерського облiку й аудиту; консультування з питань оподаткування</w:t>
            </w:r>
          </w:p>
          <w:p w14:paraId="361219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70.22 - Консультування з питань комерцiйної дiяльностi й керування</w:t>
            </w:r>
          </w:p>
        </w:tc>
      </w:tr>
      <w:tr w:rsidR="00000000" w14:paraId="0A8F685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42314F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0E84AE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Юридичнi послуги</w:t>
            </w:r>
          </w:p>
        </w:tc>
      </w:tr>
    </w:tbl>
    <w:p w14:paraId="3AA2062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4CA6859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4D2E36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969D89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 "КIНСТЕЛЛАР УКРАЇНА"</w:t>
            </w:r>
          </w:p>
        </w:tc>
      </w:tr>
      <w:tr w:rsidR="00000000" w14:paraId="61B8E1D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B6024A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26A43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5C67AB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CBD26C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4F84D40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EC7916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A5F83F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5D569CB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08D325A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92192E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80D7F2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33597986</w:t>
            </w:r>
          </w:p>
        </w:tc>
      </w:tr>
      <w:tr w:rsidR="00000000" w14:paraId="03D2DA2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7592E0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23475D4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мiсто Київ, вулиця Велика Василькiвська, будинок 77 А</w:t>
            </w:r>
          </w:p>
        </w:tc>
      </w:tr>
      <w:tr w:rsidR="00000000" w14:paraId="5DF20C0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B0867E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C860EC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59837E3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9C3A48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18AEBC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47C0B5D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48CFC4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FB7583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7F5DC0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70D9E6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7081A07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0444907790</w:t>
            </w:r>
          </w:p>
        </w:tc>
      </w:tr>
      <w:tr w:rsidR="00000000" w14:paraId="49E1EB4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E0700D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DB7FB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69.10 - Дiяльнiсть у сферi права</w:t>
            </w:r>
          </w:p>
          <w:p w14:paraId="36288A2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70.10 - Дiяльнiсть головних управлiнь (хед-офiсiв)</w:t>
            </w:r>
          </w:p>
          <w:p w14:paraId="4C49E4F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70.22 - Консультування з питань комерцiйної дiяльностi й керування</w:t>
            </w:r>
          </w:p>
        </w:tc>
      </w:tr>
      <w:tr w:rsidR="00000000" w14:paraId="392EFFA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B0B5C2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7DDA42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Юридичнi послуги</w:t>
            </w:r>
          </w:p>
        </w:tc>
      </w:tr>
    </w:tbl>
    <w:p w14:paraId="5B12AEF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095312D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6CF18E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01FAB08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АДВОКАТСЬКЕ ОБ'ЄДНАННЯ "ЮРИДИЧНА ФIРМА "ВАСИЛЬ КIСIЛЬ I ПАРТНЕРИ"</w:t>
            </w:r>
          </w:p>
        </w:tc>
      </w:tr>
      <w:tr w:rsidR="00000000" w14:paraId="67C7460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305CBB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06542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8354C5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2D5CF1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F764B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1B9192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FBE18C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6AC9FB4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організаційно-правові форми</w:t>
            </w:r>
          </w:p>
        </w:tc>
      </w:tr>
      <w:tr w:rsidR="00000000" w14:paraId="42D0059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07931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EA389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26296883</w:t>
            </w:r>
          </w:p>
        </w:tc>
      </w:tr>
      <w:tr w:rsidR="00000000" w14:paraId="744396F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17416F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Місцезнаходження</w:t>
            </w:r>
          </w:p>
        </w:tc>
        <w:tc>
          <w:tcPr>
            <w:tcW w:w="4000" w:type="dxa"/>
            <w:tcBorders>
              <w:top w:val="single" w:sz="6" w:space="0" w:color="auto"/>
              <w:left w:val="single" w:sz="6" w:space="0" w:color="auto"/>
              <w:bottom w:val="single" w:sz="6" w:space="0" w:color="auto"/>
            </w:tcBorders>
          </w:tcPr>
          <w:p w14:paraId="1DA23E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01033, Україна, мiсто Київ, вулиця Жилянська, будинок 5/60, офiс 1</w:t>
            </w:r>
          </w:p>
        </w:tc>
      </w:tr>
      <w:tr w:rsidR="00000000" w14:paraId="0969ADD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004BC2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0B4212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756DB83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63ED99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42D359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4FF48CC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D42334A"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FB64EA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9CA758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3C8760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C656B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0442895900</w:t>
            </w:r>
          </w:p>
        </w:tc>
      </w:tr>
      <w:tr w:rsidR="00000000" w14:paraId="2112569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70B6E9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C9F94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69.10 - Дiяльнiсть у сферi права</w:t>
            </w:r>
          </w:p>
        </w:tc>
      </w:tr>
      <w:tr w:rsidR="00000000" w14:paraId="6572BC4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918EC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061EC4D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Юридичнi послуги</w:t>
            </w:r>
          </w:p>
        </w:tc>
      </w:tr>
    </w:tbl>
    <w:p w14:paraId="7DACFA6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36142AF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00E433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E36597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АДВОКАТСЬКЕ ОБ'ЄДНАННЯ "АРЦIНГЕР"</w:t>
            </w:r>
          </w:p>
        </w:tc>
      </w:tr>
      <w:tr w:rsidR="00000000" w14:paraId="1627E7E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EC1FB4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32D0FA8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3C7B0D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3F97BF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51578C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7DCB67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ED8826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730E54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організаційно-правові форми</w:t>
            </w:r>
          </w:p>
        </w:tc>
      </w:tr>
      <w:tr w:rsidR="00000000" w14:paraId="7C31D99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95150F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F9B199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36958968</w:t>
            </w:r>
          </w:p>
        </w:tc>
      </w:tr>
      <w:tr w:rsidR="00000000" w14:paraId="65544BC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F74B1E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5AD981C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01010, Україна, мiсто Київ, вул. Острозьких Князiв, будинок 32/2, БЦ "Сенатор"</w:t>
            </w:r>
          </w:p>
        </w:tc>
      </w:tr>
      <w:tr w:rsidR="00000000" w14:paraId="6DD7E35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DEB78F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D8B8E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48A9383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E39AE1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5D788D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36C8EB8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EDF1C0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04233C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25EB34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4FF6CB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5FB3C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+38(044)-390-55-33</w:t>
            </w:r>
          </w:p>
        </w:tc>
      </w:tr>
      <w:tr w:rsidR="00000000" w14:paraId="5AB0230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611C6E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6308404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69.10 - Дiяльнiсть у сферi права</w:t>
            </w:r>
          </w:p>
          <w:p w14:paraId="4E9755D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82.30 - Органiзування конгресiв i торговельних виставок</w:t>
            </w:r>
          </w:p>
          <w:p w14:paraId="1EC3DAD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63.99 - Надання iнших iнформацiйних послуг, н.в.i.у.</w:t>
            </w:r>
          </w:p>
        </w:tc>
      </w:tr>
      <w:tr w:rsidR="00000000" w14:paraId="3B954AF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23BCB9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3AFDF4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Юридичнi послуги</w:t>
            </w:r>
          </w:p>
        </w:tc>
      </w:tr>
    </w:tbl>
    <w:p w14:paraId="6969A6C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152FA08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5F2DD6B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7C92565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000"/>
        <w:gridCol w:w="3000"/>
        <w:gridCol w:w="2300"/>
        <w:gridCol w:w="1200"/>
        <w:gridCol w:w="1200"/>
        <w:gridCol w:w="1200"/>
        <w:gridCol w:w="3000"/>
      </w:tblGrid>
      <w:tr w:rsidR="00000000" w14:paraId="67265EAF" w14:textId="77777777">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14:paraId="1506FBC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14:paraId="47F5052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14:paraId="1DD2EA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Місцезнаходження </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14:paraId="3F765CD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14:paraId="3AD4502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участі особи, %</w:t>
            </w:r>
          </w:p>
        </w:tc>
        <w:tc>
          <w:tcPr>
            <w:tcW w:w="3000" w:type="dxa"/>
            <w:vMerge w:val="restart"/>
            <w:tcBorders>
              <w:top w:val="single" w:sz="6" w:space="0" w:color="auto"/>
              <w:left w:val="single" w:sz="6" w:space="0" w:color="auto"/>
              <w:bottom w:val="single" w:sz="6" w:space="0" w:color="auto"/>
            </w:tcBorders>
            <w:vAlign w:val="center"/>
          </w:tcPr>
          <w:p w14:paraId="7E142D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Активи, які було передано особі</w:t>
            </w:r>
          </w:p>
        </w:tc>
      </w:tr>
      <w:tr w:rsidR="00000000" w14:paraId="07D6D413" w14:textId="77777777">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14:paraId="460B559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000" w:type="dxa"/>
            <w:vMerge/>
            <w:tcBorders>
              <w:top w:val="single" w:sz="6" w:space="0" w:color="auto"/>
              <w:left w:val="single" w:sz="6" w:space="0" w:color="auto"/>
              <w:bottom w:val="single" w:sz="6" w:space="0" w:color="auto"/>
              <w:right w:val="single" w:sz="6" w:space="0" w:color="auto"/>
            </w:tcBorders>
            <w:vAlign w:val="center"/>
          </w:tcPr>
          <w:p w14:paraId="3BDF388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000" w:type="dxa"/>
            <w:vMerge/>
            <w:tcBorders>
              <w:top w:val="single" w:sz="6" w:space="0" w:color="auto"/>
              <w:left w:val="single" w:sz="6" w:space="0" w:color="auto"/>
              <w:bottom w:val="single" w:sz="6" w:space="0" w:color="auto"/>
              <w:right w:val="single" w:sz="6" w:space="0" w:color="auto"/>
            </w:tcBorders>
            <w:vAlign w:val="center"/>
          </w:tcPr>
          <w:p w14:paraId="7D8969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300" w:type="dxa"/>
            <w:vMerge/>
            <w:tcBorders>
              <w:top w:val="single" w:sz="6" w:space="0" w:color="auto"/>
              <w:left w:val="single" w:sz="6" w:space="0" w:color="auto"/>
              <w:bottom w:val="single" w:sz="6" w:space="0" w:color="auto"/>
              <w:right w:val="single" w:sz="6" w:space="0" w:color="auto"/>
            </w:tcBorders>
            <w:vAlign w:val="center"/>
          </w:tcPr>
          <w:p w14:paraId="1BB3F6E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00" w:type="dxa"/>
            <w:tcBorders>
              <w:top w:val="single" w:sz="6" w:space="0" w:color="auto"/>
              <w:left w:val="single" w:sz="6" w:space="0" w:color="auto"/>
              <w:bottom w:val="single" w:sz="6" w:space="0" w:color="auto"/>
              <w:right w:val="single" w:sz="6" w:space="0" w:color="auto"/>
            </w:tcBorders>
            <w:vAlign w:val="center"/>
          </w:tcPr>
          <w:p w14:paraId="621426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пряма</w:t>
            </w:r>
          </w:p>
        </w:tc>
        <w:tc>
          <w:tcPr>
            <w:tcW w:w="1200" w:type="dxa"/>
            <w:tcBorders>
              <w:top w:val="single" w:sz="6" w:space="0" w:color="auto"/>
              <w:left w:val="single" w:sz="6" w:space="0" w:color="auto"/>
              <w:bottom w:val="single" w:sz="6" w:space="0" w:color="auto"/>
              <w:right w:val="single" w:sz="6" w:space="0" w:color="auto"/>
            </w:tcBorders>
            <w:vAlign w:val="center"/>
          </w:tcPr>
          <w:p w14:paraId="3A2838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14:paraId="341DFDA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сукупна</w:t>
            </w:r>
          </w:p>
        </w:tc>
        <w:tc>
          <w:tcPr>
            <w:tcW w:w="3000" w:type="dxa"/>
            <w:vMerge/>
            <w:tcBorders>
              <w:top w:val="single" w:sz="6" w:space="0" w:color="auto"/>
              <w:left w:val="single" w:sz="6" w:space="0" w:color="auto"/>
              <w:bottom w:val="single" w:sz="6" w:space="0" w:color="auto"/>
            </w:tcBorders>
            <w:vAlign w:val="center"/>
          </w:tcPr>
          <w:p w14:paraId="7D99942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8B0B691"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5792A04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000" w:type="dxa"/>
            <w:tcBorders>
              <w:top w:val="single" w:sz="6" w:space="0" w:color="auto"/>
              <w:left w:val="single" w:sz="6" w:space="0" w:color="auto"/>
              <w:bottom w:val="single" w:sz="6" w:space="0" w:color="auto"/>
              <w:right w:val="single" w:sz="6" w:space="0" w:color="auto"/>
            </w:tcBorders>
            <w:vAlign w:val="center"/>
          </w:tcPr>
          <w:p w14:paraId="2F1B0F7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000" w:type="dxa"/>
            <w:tcBorders>
              <w:top w:val="single" w:sz="6" w:space="0" w:color="auto"/>
              <w:left w:val="single" w:sz="6" w:space="0" w:color="auto"/>
              <w:bottom w:val="single" w:sz="6" w:space="0" w:color="auto"/>
              <w:right w:val="single" w:sz="6" w:space="0" w:color="auto"/>
            </w:tcBorders>
            <w:vAlign w:val="center"/>
          </w:tcPr>
          <w:p w14:paraId="3C2E36D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300" w:type="dxa"/>
            <w:tcBorders>
              <w:top w:val="single" w:sz="6" w:space="0" w:color="auto"/>
              <w:left w:val="single" w:sz="6" w:space="0" w:color="auto"/>
              <w:bottom w:val="single" w:sz="6" w:space="0" w:color="auto"/>
              <w:right w:val="single" w:sz="6" w:space="0" w:color="auto"/>
            </w:tcBorders>
            <w:vAlign w:val="center"/>
          </w:tcPr>
          <w:p w14:paraId="53FB40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right w:val="single" w:sz="6" w:space="0" w:color="auto"/>
            </w:tcBorders>
            <w:vAlign w:val="center"/>
          </w:tcPr>
          <w:p w14:paraId="68E58F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200" w:type="dxa"/>
            <w:tcBorders>
              <w:top w:val="single" w:sz="6" w:space="0" w:color="auto"/>
              <w:left w:val="single" w:sz="6" w:space="0" w:color="auto"/>
              <w:bottom w:val="single" w:sz="6" w:space="0" w:color="auto"/>
              <w:right w:val="single" w:sz="6" w:space="0" w:color="auto"/>
            </w:tcBorders>
            <w:vAlign w:val="center"/>
          </w:tcPr>
          <w:p w14:paraId="49B042F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200" w:type="dxa"/>
            <w:tcBorders>
              <w:top w:val="single" w:sz="6" w:space="0" w:color="auto"/>
              <w:left w:val="single" w:sz="6" w:space="0" w:color="auto"/>
              <w:bottom w:val="single" w:sz="6" w:space="0" w:color="auto"/>
              <w:right w:val="single" w:sz="6" w:space="0" w:color="auto"/>
            </w:tcBorders>
            <w:vAlign w:val="center"/>
          </w:tcPr>
          <w:p w14:paraId="0A06127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25FF28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7D156DEE"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14:paraId="3E58C0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000" w:type="dxa"/>
            <w:tcBorders>
              <w:top w:val="single" w:sz="6" w:space="0" w:color="auto"/>
              <w:left w:val="single" w:sz="6" w:space="0" w:color="auto"/>
              <w:bottom w:val="single" w:sz="6" w:space="0" w:color="auto"/>
              <w:right w:val="single" w:sz="6" w:space="0" w:color="auto"/>
            </w:tcBorders>
          </w:tcPr>
          <w:p w14:paraId="6DEA4A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ВIДПОВIДАЛЬНIСТЮ "ЧIПСИ ЛЮКС"Товариство з обмеженою вiдповiдальнiстю</w:t>
            </w:r>
          </w:p>
          <w:p w14:paraId="50492BA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14:paraId="221BAEE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07353, Україна, Київська обл., Вишгородський р-н., с. Старi Петрiвцi, вул. Польова, 17</w:t>
            </w:r>
          </w:p>
        </w:tc>
        <w:tc>
          <w:tcPr>
            <w:tcW w:w="2300" w:type="dxa"/>
            <w:tcBorders>
              <w:top w:val="single" w:sz="6" w:space="0" w:color="auto"/>
              <w:left w:val="single" w:sz="6" w:space="0" w:color="auto"/>
              <w:bottom w:val="single" w:sz="6" w:space="0" w:color="auto"/>
              <w:right w:val="single" w:sz="6" w:space="0" w:color="auto"/>
            </w:tcBorders>
          </w:tcPr>
          <w:p w14:paraId="1B11D7F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36832644</w:t>
            </w:r>
          </w:p>
        </w:tc>
        <w:tc>
          <w:tcPr>
            <w:tcW w:w="1200" w:type="dxa"/>
            <w:tcBorders>
              <w:top w:val="single" w:sz="6" w:space="0" w:color="auto"/>
              <w:left w:val="single" w:sz="6" w:space="0" w:color="auto"/>
              <w:bottom w:val="single" w:sz="6" w:space="0" w:color="auto"/>
              <w:right w:val="single" w:sz="6" w:space="0" w:color="auto"/>
            </w:tcBorders>
          </w:tcPr>
          <w:p w14:paraId="1696145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200" w:type="dxa"/>
            <w:tcBorders>
              <w:top w:val="single" w:sz="6" w:space="0" w:color="auto"/>
              <w:left w:val="single" w:sz="6" w:space="0" w:color="auto"/>
              <w:bottom w:val="single" w:sz="6" w:space="0" w:color="auto"/>
              <w:right w:val="single" w:sz="6" w:space="0" w:color="auto"/>
            </w:tcBorders>
          </w:tcPr>
          <w:p w14:paraId="169714A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CFF928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3000" w:type="dxa"/>
            <w:tcBorders>
              <w:top w:val="single" w:sz="6" w:space="0" w:color="auto"/>
              <w:left w:val="single" w:sz="6" w:space="0" w:color="auto"/>
              <w:bottom w:val="single" w:sz="6" w:space="0" w:color="auto"/>
            </w:tcBorders>
          </w:tcPr>
          <w:p w14:paraId="33A5DC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Оплату внеску до статутного капiталу Емiтентом здiйснено грошовими коштами</w:t>
            </w:r>
          </w:p>
        </w:tc>
      </w:tr>
    </w:tbl>
    <w:p w14:paraId="3A27372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0D7B9808"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6. Відокремлені підрозділи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2500"/>
        <w:gridCol w:w="3500"/>
        <w:gridCol w:w="5400"/>
      </w:tblGrid>
      <w:tr w:rsidR="00000000" w14:paraId="54D06258"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59841B9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3500" w:type="dxa"/>
            <w:tcBorders>
              <w:top w:val="single" w:sz="6" w:space="0" w:color="auto"/>
              <w:left w:val="single" w:sz="6" w:space="0" w:color="auto"/>
              <w:bottom w:val="single" w:sz="6" w:space="0" w:color="auto"/>
              <w:right w:val="single" w:sz="6" w:space="0" w:color="auto"/>
            </w:tcBorders>
            <w:vAlign w:val="center"/>
          </w:tcPr>
          <w:p w14:paraId="3C240C0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Найменування відокремленого підрозділу</w:t>
            </w:r>
          </w:p>
        </w:tc>
        <w:tc>
          <w:tcPr>
            <w:tcW w:w="2500" w:type="dxa"/>
            <w:tcBorders>
              <w:top w:val="single" w:sz="6" w:space="0" w:color="auto"/>
              <w:left w:val="single" w:sz="6" w:space="0" w:color="auto"/>
              <w:bottom w:val="single" w:sz="6" w:space="0" w:color="auto"/>
              <w:right w:val="single" w:sz="6" w:space="0" w:color="auto"/>
            </w:tcBorders>
            <w:vAlign w:val="center"/>
          </w:tcPr>
          <w:p w14:paraId="4DEF73D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Тип (філія, представництво, відділення тощо)</w:t>
            </w:r>
          </w:p>
        </w:tc>
        <w:tc>
          <w:tcPr>
            <w:tcW w:w="3500" w:type="dxa"/>
            <w:tcBorders>
              <w:top w:val="single" w:sz="6" w:space="0" w:color="auto"/>
              <w:left w:val="single" w:sz="6" w:space="0" w:color="auto"/>
              <w:bottom w:val="single" w:sz="6" w:space="0" w:color="auto"/>
              <w:right w:val="single" w:sz="6" w:space="0" w:color="auto"/>
            </w:tcBorders>
            <w:vAlign w:val="center"/>
          </w:tcPr>
          <w:p w14:paraId="763CCC0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Місцезнаходження</w:t>
            </w:r>
          </w:p>
        </w:tc>
        <w:tc>
          <w:tcPr>
            <w:tcW w:w="5400" w:type="dxa"/>
            <w:tcBorders>
              <w:top w:val="single" w:sz="6" w:space="0" w:color="auto"/>
              <w:left w:val="single" w:sz="6" w:space="0" w:color="auto"/>
              <w:bottom w:val="single" w:sz="6" w:space="0" w:color="auto"/>
            </w:tcBorders>
            <w:vAlign w:val="center"/>
          </w:tcPr>
          <w:p w14:paraId="156B6A0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Функції відокремленого підрозділу</w:t>
            </w:r>
          </w:p>
        </w:tc>
      </w:tr>
      <w:tr w:rsidR="00000000" w14:paraId="3235DD16"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595999D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3500" w:type="dxa"/>
            <w:tcBorders>
              <w:top w:val="single" w:sz="6" w:space="0" w:color="auto"/>
              <w:left w:val="single" w:sz="6" w:space="0" w:color="auto"/>
              <w:bottom w:val="single" w:sz="6" w:space="0" w:color="auto"/>
              <w:right w:val="single" w:sz="6" w:space="0" w:color="auto"/>
            </w:tcBorders>
            <w:vAlign w:val="center"/>
          </w:tcPr>
          <w:p w14:paraId="5D6FBF1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2301F9F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3500" w:type="dxa"/>
            <w:tcBorders>
              <w:top w:val="single" w:sz="6" w:space="0" w:color="auto"/>
              <w:left w:val="single" w:sz="6" w:space="0" w:color="auto"/>
              <w:bottom w:val="single" w:sz="6" w:space="0" w:color="auto"/>
              <w:right w:val="single" w:sz="6" w:space="0" w:color="auto"/>
            </w:tcBorders>
            <w:vAlign w:val="center"/>
          </w:tcPr>
          <w:p w14:paraId="1DDE7BA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5400" w:type="dxa"/>
            <w:tcBorders>
              <w:top w:val="single" w:sz="6" w:space="0" w:color="auto"/>
              <w:left w:val="single" w:sz="6" w:space="0" w:color="auto"/>
              <w:bottom w:val="single" w:sz="6" w:space="0" w:color="auto"/>
            </w:tcBorders>
            <w:vAlign w:val="center"/>
          </w:tcPr>
          <w:p w14:paraId="7B3B6F9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r>
      <w:tr w:rsidR="00000000" w14:paraId="5F53003A"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576F62F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3500" w:type="dxa"/>
            <w:tcBorders>
              <w:top w:val="single" w:sz="6" w:space="0" w:color="auto"/>
              <w:left w:val="single" w:sz="6" w:space="0" w:color="auto"/>
              <w:bottom w:val="single" w:sz="6" w:space="0" w:color="auto"/>
              <w:right w:val="single" w:sz="6" w:space="0" w:color="auto"/>
            </w:tcBorders>
            <w:vAlign w:val="center"/>
          </w:tcPr>
          <w:p w14:paraId="673587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Київська фiлiя</w:t>
            </w:r>
          </w:p>
        </w:tc>
        <w:tc>
          <w:tcPr>
            <w:tcW w:w="2500" w:type="dxa"/>
            <w:tcBorders>
              <w:top w:val="single" w:sz="6" w:space="0" w:color="auto"/>
              <w:left w:val="single" w:sz="6" w:space="0" w:color="auto"/>
              <w:bottom w:val="single" w:sz="6" w:space="0" w:color="auto"/>
              <w:right w:val="single" w:sz="6" w:space="0" w:color="auto"/>
            </w:tcBorders>
            <w:vAlign w:val="center"/>
          </w:tcPr>
          <w:p w14:paraId="0B9B786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Філія</w:t>
            </w:r>
          </w:p>
        </w:tc>
        <w:tc>
          <w:tcPr>
            <w:tcW w:w="3500" w:type="dxa"/>
            <w:tcBorders>
              <w:top w:val="single" w:sz="6" w:space="0" w:color="auto"/>
              <w:left w:val="single" w:sz="6" w:space="0" w:color="auto"/>
              <w:bottom w:val="single" w:sz="6" w:space="0" w:color="auto"/>
              <w:right w:val="single" w:sz="6" w:space="0" w:color="auto"/>
            </w:tcBorders>
            <w:vAlign w:val="center"/>
          </w:tcPr>
          <w:p w14:paraId="66664DB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Україна, м. Київ</w:t>
            </w:r>
          </w:p>
        </w:tc>
        <w:tc>
          <w:tcPr>
            <w:tcW w:w="5400" w:type="dxa"/>
            <w:tcBorders>
              <w:top w:val="single" w:sz="6" w:space="0" w:color="auto"/>
              <w:left w:val="single" w:sz="6" w:space="0" w:color="auto"/>
              <w:bottom w:val="single" w:sz="6" w:space="0" w:color="auto"/>
            </w:tcBorders>
            <w:vAlign w:val="center"/>
          </w:tcPr>
          <w:p w14:paraId="7DC0914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Адмiнiстративнi та представницькi функцiї</w:t>
            </w:r>
          </w:p>
          <w:p w14:paraId="5F92B0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КВЕД:</w:t>
            </w:r>
          </w:p>
          <w:p w14:paraId="199C52A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70.10 Дiяльнiсть головних управлiнь (хед-офiсiв)</w:t>
            </w:r>
          </w:p>
          <w:p w14:paraId="1D1B460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70.22 Консультування з питань комерцiйної дiяльностi й керування</w:t>
            </w:r>
          </w:p>
          <w:p w14:paraId="3A5A5C5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73.20 Дослiдження кон'юнктури ринку та виявлення громадської думки</w:t>
            </w:r>
          </w:p>
          <w:p w14:paraId="3794B7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r>
    </w:tbl>
    <w:p w14:paraId="0E3CA70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0"/>
          <w:szCs w:val="20"/>
        </w:rPr>
      </w:pPr>
    </w:p>
    <w:p w14:paraId="47DFCDD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II. Інформація щодо капіталу та цінних паперів</w:t>
      </w:r>
    </w:p>
    <w:p w14:paraId="6FE7BFD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14:paraId="02901CA2"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28B676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7AE0F15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14:paraId="22988C8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5152CC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14:paraId="708DD7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0C96024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71E2EA1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14:paraId="293C1F7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Облік часток особи в обліковій системі часток</w:t>
            </w:r>
          </w:p>
        </w:tc>
      </w:tr>
      <w:tr w:rsidR="00000000" w14:paraId="05F854EC"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6DA724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4039D8E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0643102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55CE7F4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900" w:type="dxa"/>
            <w:tcBorders>
              <w:top w:val="single" w:sz="6" w:space="0" w:color="auto"/>
              <w:left w:val="single" w:sz="6" w:space="0" w:color="auto"/>
              <w:bottom w:val="single" w:sz="6" w:space="0" w:color="auto"/>
              <w:right w:val="single" w:sz="6" w:space="0" w:color="auto"/>
            </w:tcBorders>
            <w:vAlign w:val="center"/>
          </w:tcPr>
          <w:p w14:paraId="6DF5B6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0678D1F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641C89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35D34B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1DB2EC9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22DE851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tcPr>
          <w:p w14:paraId="4DA506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простi</w:t>
            </w:r>
          </w:p>
        </w:tc>
        <w:tc>
          <w:tcPr>
            <w:tcW w:w="2000" w:type="dxa"/>
            <w:tcBorders>
              <w:top w:val="single" w:sz="6" w:space="0" w:color="auto"/>
              <w:left w:val="single" w:sz="6" w:space="0" w:color="auto"/>
              <w:bottom w:val="single" w:sz="6" w:space="0" w:color="auto"/>
              <w:right w:val="single" w:sz="6" w:space="0" w:color="auto"/>
            </w:tcBorders>
          </w:tcPr>
          <w:p w14:paraId="4EE7A3C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33/1/2015</w:t>
            </w:r>
          </w:p>
        </w:tc>
        <w:tc>
          <w:tcPr>
            <w:tcW w:w="2000" w:type="dxa"/>
            <w:tcBorders>
              <w:top w:val="single" w:sz="6" w:space="0" w:color="auto"/>
              <w:left w:val="single" w:sz="6" w:space="0" w:color="auto"/>
              <w:bottom w:val="single" w:sz="6" w:space="0" w:color="auto"/>
              <w:right w:val="single" w:sz="6" w:space="0" w:color="auto"/>
            </w:tcBorders>
          </w:tcPr>
          <w:p w14:paraId="2782FA1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3 424 222</w:t>
            </w:r>
          </w:p>
        </w:tc>
        <w:tc>
          <w:tcPr>
            <w:tcW w:w="1900" w:type="dxa"/>
            <w:tcBorders>
              <w:top w:val="single" w:sz="6" w:space="0" w:color="auto"/>
              <w:left w:val="single" w:sz="6" w:space="0" w:color="auto"/>
              <w:bottom w:val="single" w:sz="6" w:space="0" w:color="auto"/>
              <w:right w:val="single" w:sz="6" w:space="0" w:color="auto"/>
            </w:tcBorders>
          </w:tcPr>
          <w:p w14:paraId="66BFF97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0,55</w:t>
            </w:r>
          </w:p>
        </w:tc>
        <w:tc>
          <w:tcPr>
            <w:tcW w:w="2000" w:type="dxa"/>
            <w:tcBorders>
              <w:top w:val="single" w:sz="6" w:space="0" w:color="auto"/>
              <w:left w:val="single" w:sz="6" w:space="0" w:color="auto"/>
              <w:bottom w:val="single" w:sz="6" w:space="0" w:color="auto"/>
              <w:right w:val="single" w:sz="6" w:space="0" w:color="auto"/>
            </w:tcBorders>
          </w:tcPr>
          <w:p w14:paraId="6DD18F1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Згiдно зi Статутом</w:t>
            </w:r>
          </w:p>
        </w:tc>
        <w:tc>
          <w:tcPr>
            <w:tcW w:w="2000" w:type="dxa"/>
            <w:tcBorders>
              <w:top w:val="single" w:sz="6" w:space="0" w:color="auto"/>
              <w:left w:val="single" w:sz="6" w:space="0" w:color="auto"/>
              <w:bottom w:val="single" w:sz="6" w:space="0" w:color="auto"/>
              <w:right w:val="single" w:sz="6" w:space="0" w:color="auto"/>
            </w:tcBorders>
          </w:tcPr>
          <w:p w14:paraId="1B6C195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Вiдповiдно до ч. 4 Прикiнцевих та перехiдних </w:t>
            </w:r>
            <w:r>
              <w:rPr>
                <w:rFonts w:ascii="Times New Roman CYR" w:hAnsi="Times New Roman CYR" w:cs="Times New Roman CYR"/>
                <w:kern w:val="0"/>
                <w:sz w:val="22"/>
                <w:szCs w:val="22"/>
              </w:rPr>
              <w:lastRenderedPageBreak/>
              <w:t>положень Закону України "Про внесення змiн до деяких законодавчих актiв України щодо спрощення ведення бiзнесу та залучення iнвестицiй емiтентами цiнних паперiв" вiд 16.11.2017 року №2210-VIII, Емiтент вважається таким, що не здiйснював публiчної пропозицiї цiнних паперiв.</w:t>
            </w:r>
          </w:p>
        </w:tc>
        <w:tc>
          <w:tcPr>
            <w:tcW w:w="3000" w:type="dxa"/>
            <w:tcBorders>
              <w:top w:val="single" w:sz="6" w:space="0" w:color="auto"/>
              <w:left w:val="single" w:sz="6" w:space="0" w:color="auto"/>
              <w:bottom w:val="single" w:sz="6" w:space="0" w:color="auto"/>
            </w:tcBorders>
          </w:tcPr>
          <w:p w14:paraId="1D13DA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742B599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3E19A01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3. Цінні папери</w:t>
      </w:r>
    </w:p>
    <w:p w14:paraId="781EA9A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14:paraId="7888AA4D"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4B605B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4AA59E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4EAFD9F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4B489B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3B7DFE9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6B9C56E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67BE74F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1099352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6099708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797E2CC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у статутному капіталі (у відсотках)</w:t>
            </w:r>
          </w:p>
        </w:tc>
      </w:tr>
      <w:tr w:rsidR="00000000" w14:paraId="0207FD39"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2DFA4E4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7699A87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7FE10A0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774A103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6F5C38C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3FFB632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2A173A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581D42C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75988B4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78236C8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000000" w14:paraId="4FAF2F1A"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14:paraId="078A16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10.04.2015</w:t>
            </w:r>
          </w:p>
        </w:tc>
        <w:tc>
          <w:tcPr>
            <w:tcW w:w="1350" w:type="dxa"/>
            <w:tcBorders>
              <w:top w:val="single" w:sz="6" w:space="0" w:color="auto"/>
              <w:left w:val="single" w:sz="6" w:space="0" w:color="auto"/>
              <w:bottom w:val="single" w:sz="6" w:space="0" w:color="auto"/>
              <w:right w:val="single" w:sz="6" w:space="0" w:color="auto"/>
            </w:tcBorders>
          </w:tcPr>
          <w:p w14:paraId="578A24B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33/1/2015</w:t>
            </w:r>
          </w:p>
        </w:tc>
        <w:tc>
          <w:tcPr>
            <w:tcW w:w="2400" w:type="dxa"/>
            <w:tcBorders>
              <w:top w:val="single" w:sz="6" w:space="0" w:color="auto"/>
              <w:left w:val="single" w:sz="6" w:space="0" w:color="auto"/>
              <w:bottom w:val="single" w:sz="6" w:space="0" w:color="auto"/>
              <w:right w:val="single" w:sz="6" w:space="0" w:color="auto"/>
            </w:tcBorders>
          </w:tcPr>
          <w:p w14:paraId="69AF734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14:paraId="0AE5A66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UA4000172407</w:t>
            </w:r>
          </w:p>
        </w:tc>
        <w:tc>
          <w:tcPr>
            <w:tcW w:w="1600" w:type="dxa"/>
            <w:tcBorders>
              <w:top w:val="single" w:sz="6" w:space="0" w:color="auto"/>
              <w:left w:val="single" w:sz="6" w:space="0" w:color="auto"/>
              <w:bottom w:val="single" w:sz="6" w:space="0" w:color="auto"/>
              <w:right w:val="single" w:sz="6" w:space="0" w:color="auto"/>
            </w:tcBorders>
          </w:tcPr>
          <w:p w14:paraId="272CDDA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7F4070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663B76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0,55</w:t>
            </w:r>
          </w:p>
        </w:tc>
        <w:tc>
          <w:tcPr>
            <w:tcW w:w="1200" w:type="dxa"/>
            <w:tcBorders>
              <w:top w:val="single" w:sz="6" w:space="0" w:color="auto"/>
              <w:left w:val="single" w:sz="6" w:space="0" w:color="auto"/>
              <w:bottom w:val="single" w:sz="6" w:space="0" w:color="auto"/>
              <w:right w:val="single" w:sz="6" w:space="0" w:color="auto"/>
            </w:tcBorders>
          </w:tcPr>
          <w:p w14:paraId="123EB9A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3 424 222</w:t>
            </w:r>
          </w:p>
        </w:tc>
        <w:tc>
          <w:tcPr>
            <w:tcW w:w="1400" w:type="dxa"/>
            <w:tcBorders>
              <w:top w:val="single" w:sz="6" w:space="0" w:color="auto"/>
              <w:left w:val="single" w:sz="6" w:space="0" w:color="auto"/>
              <w:bottom w:val="single" w:sz="6" w:space="0" w:color="auto"/>
              <w:right w:val="single" w:sz="6" w:space="0" w:color="auto"/>
            </w:tcBorders>
          </w:tcPr>
          <w:p w14:paraId="0B647C9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1 883 322,1</w:t>
            </w:r>
          </w:p>
        </w:tc>
        <w:tc>
          <w:tcPr>
            <w:tcW w:w="1700" w:type="dxa"/>
            <w:tcBorders>
              <w:top w:val="single" w:sz="6" w:space="0" w:color="auto"/>
              <w:left w:val="single" w:sz="6" w:space="0" w:color="auto"/>
              <w:bottom w:val="single" w:sz="6" w:space="0" w:color="auto"/>
            </w:tcBorders>
          </w:tcPr>
          <w:p w14:paraId="290C15D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000000" w14:paraId="0ECCEA50" w14:textId="77777777">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14:paraId="0EAEC94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626D1BB5"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Емiтент є приватним акцiонерним товариством. В звiтному перiодi торгiвля акцiями Емiтента на внутрiшнiх та зовнiшнiх ринках - не здiйснювалась. В звiтному перiодi фактiв включення/виключення акцiй Емiтента до/з бiржового реєстру фондових бiрж - не було. В звiтному перiодi Емiтент додаткових емiсiй акцiй та iнших цiнних паперiв - не здiйснював. Випуск акцiй Емiтента зареєстровано Нацiональною комiсiєю з цiнних паперiв та фондового ринку, про що видано свiдоцтво про реєстрацiю випуску акцiй за №33/1/2015, дат</w:t>
            </w:r>
            <w:r>
              <w:rPr>
                <w:rFonts w:ascii="Times New Roman CYR" w:hAnsi="Times New Roman CYR" w:cs="Times New Roman CYR"/>
                <w:kern w:val="0"/>
                <w:sz w:val="22"/>
                <w:szCs w:val="22"/>
              </w:rPr>
              <w:t>а реєстрацiї 10.04.2015 року, дата видачi 10.04.2015 року. Вiдповiдно до ч. 4 Прикiнцевих та перехiдних положень Закону України "Про внесення змiн до деяких законодавчих актiв України щодо спрощення ведення бiзнесу та залучення iнвестицiй емiтентами цiнних паперiв" вiд 16.11.2017 року №2210-VIII, Емiтент вважається таким, що не здiйснював публiчної пропозицiї цiнних паперiв.</w:t>
            </w:r>
          </w:p>
        </w:tc>
      </w:tr>
    </w:tbl>
    <w:p w14:paraId="6645C6B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1DE4670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14:paraId="58318145"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5E50E1D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14:paraId="5FF3CED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14:paraId="2752E5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14:paraId="323FE49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інших не голосуючих акцій, шт.</w:t>
            </w:r>
          </w:p>
        </w:tc>
      </w:tr>
      <w:tr w:rsidR="00000000" w14:paraId="4D6DD196"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7E391D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850" w:type="dxa"/>
            <w:tcBorders>
              <w:top w:val="single" w:sz="6" w:space="0" w:color="auto"/>
              <w:left w:val="single" w:sz="6" w:space="0" w:color="auto"/>
              <w:bottom w:val="single" w:sz="6" w:space="0" w:color="auto"/>
              <w:right w:val="single" w:sz="6" w:space="0" w:color="auto"/>
            </w:tcBorders>
            <w:vAlign w:val="center"/>
          </w:tcPr>
          <w:p w14:paraId="701BF4D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850" w:type="dxa"/>
            <w:tcBorders>
              <w:top w:val="single" w:sz="6" w:space="0" w:color="auto"/>
              <w:left w:val="single" w:sz="6" w:space="0" w:color="auto"/>
              <w:bottom w:val="single" w:sz="6" w:space="0" w:color="auto"/>
              <w:right w:val="single" w:sz="6" w:space="0" w:color="auto"/>
            </w:tcBorders>
            <w:vAlign w:val="center"/>
          </w:tcPr>
          <w:p w14:paraId="7B8C4DF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850" w:type="dxa"/>
            <w:tcBorders>
              <w:top w:val="single" w:sz="6" w:space="0" w:color="auto"/>
              <w:left w:val="single" w:sz="6" w:space="0" w:color="auto"/>
              <w:bottom w:val="single" w:sz="6" w:space="0" w:color="auto"/>
            </w:tcBorders>
            <w:vAlign w:val="center"/>
          </w:tcPr>
          <w:p w14:paraId="50970A2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6E1E3A0C"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14:paraId="090E49A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UA4000172407</w:t>
            </w:r>
          </w:p>
        </w:tc>
        <w:tc>
          <w:tcPr>
            <w:tcW w:w="3850" w:type="dxa"/>
            <w:tcBorders>
              <w:top w:val="single" w:sz="6" w:space="0" w:color="auto"/>
              <w:left w:val="single" w:sz="6" w:space="0" w:color="auto"/>
              <w:bottom w:val="single" w:sz="6" w:space="0" w:color="auto"/>
              <w:right w:val="single" w:sz="6" w:space="0" w:color="auto"/>
            </w:tcBorders>
          </w:tcPr>
          <w:p w14:paraId="042C3D3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3424222</w:t>
            </w:r>
          </w:p>
        </w:tc>
        <w:tc>
          <w:tcPr>
            <w:tcW w:w="3850" w:type="dxa"/>
            <w:tcBorders>
              <w:top w:val="single" w:sz="6" w:space="0" w:color="auto"/>
              <w:left w:val="single" w:sz="6" w:space="0" w:color="auto"/>
              <w:bottom w:val="single" w:sz="6" w:space="0" w:color="auto"/>
              <w:right w:val="single" w:sz="6" w:space="0" w:color="auto"/>
            </w:tcBorders>
          </w:tcPr>
          <w:p w14:paraId="303483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3850" w:type="dxa"/>
            <w:tcBorders>
              <w:top w:val="single" w:sz="6" w:space="0" w:color="auto"/>
              <w:left w:val="single" w:sz="6" w:space="0" w:color="auto"/>
              <w:bottom w:val="single" w:sz="6" w:space="0" w:color="auto"/>
            </w:tcBorders>
          </w:tcPr>
          <w:p w14:paraId="69A4B0C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bl>
    <w:p w14:paraId="18A5DF5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2E74CAC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000000" w14:paraId="3E64638A"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51939EB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273CA05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14:paraId="5BDFAC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14:paraId="2EDC34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50E088C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14:paraId="50EB60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Характеристика обмеження</w:t>
            </w:r>
          </w:p>
        </w:tc>
        <w:tc>
          <w:tcPr>
            <w:tcW w:w="2400" w:type="dxa"/>
            <w:tcBorders>
              <w:top w:val="single" w:sz="6" w:space="0" w:color="auto"/>
              <w:left w:val="single" w:sz="6" w:space="0" w:color="auto"/>
              <w:bottom w:val="single" w:sz="6" w:space="0" w:color="auto"/>
            </w:tcBorders>
            <w:vAlign w:val="center"/>
          </w:tcPr>
          <w:p w14:paraId="70E5E3E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Строк обмеження</w:t>
            </w:r>
          </w:p>
        </w:tc>
      </w:tr>
      <w:tr w:rsidR="00000000" w14:paraId="3B84DEE1"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2C4B8A8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690D943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48FBC6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7DFC7DB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000" w:type="dxa"/>
            <w:tcBorders>
              <w:top w:val="single" w:sz="6" w:space="0" w:color="auto"/>
              <w:left w:val="single" w:sz="6" w:space="0" w:color="auto"/>
              <w:bottom w:val="single" w:sz="6" w:space="0" w:color="auto"/>
              <w:right w:val="single" w:sz="6" w:space="0" w:color="auto"/>
            </w:tcBorders>
            <w:vAlign w:val="center"/>
          </w:tcPr>
          <w:p w14:paraId="5A6EB5C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3500" w:type="dxa"/>
            <w:tcBorders>
              <w:top w:val="single" w:sz="6" w:space="0" w:color="auto"/>
              <w:left w:val="single" w:sz="6" w:space="0" w:color="auto"/>
              <w:bottom w:val="single" w:sz="6" w:space="0" w:color="auto"/>
              <w:right w:val="single" w:sz="6" w:space="0" w:color="auto"/>
            </w:tcBorders>
            <w:vAlign w:val="center"/>
          </w:tcPr>
          <w:p w14:paraId="64419D3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400" w:type="dxa"/>
            <w:tcBorders>
              <w:top w:val="single" w:sz="6" w:space="0" w:color="auto"/>
              <w:left w:val="single" w:sz="6" w:space="0" w:color="auto"/>
              <w:bottom w:val="single" w:sz="6" w:space="0" w:color="auto"/>
            </w:tcBorders>
            <w:vAlign w:val="center"/>
          </w:tcPr>
          <w:p w14:paraId="4438363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r>
      <w:tr w:rsidR="00000000" w14:paraId="692E799C"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7367441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10.04.2015</w:t>
            </w:r>
          </w:p>
        </w:tc>
        <w:tc>
          <w:tcPr>
            <w:tcW w:w="2000" w:type="dxa"/>
            <w:tcBorders>
              <w:top w:val="single" w:sz="6" w:space="0" w:color="auto"/>
              <w:left w:val="single" w:sz="6" w:space="0" w:color="auto"/>
              <w:bottom w:val="single" w:sz="6" w:space="0" w:color="auto"/>
              <w:right w:val="single" w:sz="6" w:space="0" w:color="auto"/>
            </w:tcBorders>
          </w:tcPr>
          <w:p w14:paraId="5BAC04D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Нацiональна комiсiя з цiнних паперiв та фондового ринку</w:t>
            </w:r>
          </w:p>
        </w:tc>
        <w:tc>
          <w:tcPr>
            <w:tcW w:w="2000" w:type="dxa"/>
            <w:tcBorders>
              <w:top w:val="single" w:sz="6" w:space="0" w:color="auto"/>
              <w:left w:val="single" w:sz="6" w:space="0" w:color="auto"/>
              <w:bottom w:val="single" w:sz="6" w:space="0" w:color="auto"/>
              <w:right w:val="single" w:sz="6" w:space="0" w:color="auto"/>
            </w:tcBorders>
          </w:tcPr>
          <w:p w14:paraId="714287E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2064233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UA4000172407</w:t>
            </w:r>
          </w:p>
        </w:tc>
        <w:tc>
          <w:tcPr>
            <w:tcW w:w="2000" w:type="dxa"/>
            <w:tcBorders>
              <w:top w:val="single" w:sz="6" w:space="0" w:color="auto"/>
              <w:left w:val="single" w:sz="6" w:space="0" w:color="auto"/>
              <w:bottom w:val="single" w:sz="6" w:space="0" w:color="auto"/>
              <w:right w:val="single" w:sz="6" w:space="0" w:color="auto"/>
            </w:tcBorders>
          </w:tcPr>
          <w:p w14:paraId="3CA8230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Вищий орган управлiння - загальнi збори акцiонерiв</w:t>
            </w:r>
          </w:p>
        </w:tc>
        <w:tc>
          <w:tcPr>
            <w:tcW w:w="3500" w:type="dxa"/>
            <w:tcBorders>
              <w:top w:val="single" w:sz="6" w:space="0" w:color="auto"/>
              <w:left w:val="single" w:sz="6" w:space="0" w:color="auto"/>
              <w:bottom w:val="single" w:sz="6" w:space="0" w:color="auto"/>
              <w:right w:val="single" w:sz="6" w:space="0" w:color="auto"/>
            </w:tcBorders>
          </w:tcPr>
          <w:p w14:paraId="19550E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 5.4 роздiлу 5 чинної редакцiї Статуту Емiтента, передбачене переважне право акцiонерiв Емiтента на придбання акцiй Емiтента, що продаються та/або вiдчужуються будь-яким iншим способом (обмiн акцiй на будь-яке iнше, нiж грошi майно, внесення акцiй до статутного капiталу iнших юридичних осiб, дарування акцiй i т.i.), iншими акцiонерами Емiтента, за цiною та на умовах, запропонованих акцiонером третiй особi, пропорцiйно кiлькостi акцiй, що належать кожному з них. П. 5.5 роздiлу 5 чинної редакцiї Статуту Ем</w:t>
            </w:r>
            <w:r>
              <w:rPr>
                <w:rFonts w:ascii="Times New Roman CYR" w:hAnsi="Times New Roman CYR" w:cs="Times New Roman CYR"/>
                <w:kern w:val="0"/>
                <w:sz w:val="22"/>
                <w:szCs w:val="22"/>
              </w:rPr>
              <w:t xml:space="preserve">iтента встановлено, що Акцiонер Емiтента, який має намiр продати та/або здiйснити вiдчуження своїх акцiй будь-яким iншим способом третiй особi, зобов'язаний письмово повiдомити про це решту акцiонерiв Емiтента iз зазначенням цiни та iнших умов продажу та/або вiдчуження акцiй. Повiдомлення акцiонерiв Емiтента </w:t>
            </w:r>
            <w:r>
              <w:rPr>
                <w:rFonts w:ascii="Times New Roman CYR" w:hAnsi="Times New Roman CYR" w:cs="Times New Roman CYR"/>
                <w:kern w:val="0"/>
                <w:sz w:val="22"/>
                <w:szCs w:val="22"/>
              </w:rPr>
              <w:lastRenderedPageBreak/>
              <w:t xml:space="preserve">здiйснюється через Емiтента, шляхом направлення акцiонером, який має намiр продати та/або здiйснити вiдчуження своїх акцiй будь-яким iншим способом третiй особi, вiдповiдного письмового повiдомлення на </w:t>
            </w:r>
            <w:r>
              <w:rPr>
                <w:rFonts w:ascii="Times New Roman CYR" w:hAnsi="Times New Roman CYR" w:cs="Times New Roman CYR"/>
                <w:kern w:val="0"/>
                <w:sz w:val="22"/>
                <w:szCs w:val="22"/>
              </w:rPr>
              <w:t>iм`я генерального директора Емiтента, рекомендованим поштовим листом з повiдомленням про вручення або надання такого письмового повiдомлення безпосередньо до канцелярiї Емiтента. Таке повiдомлення вважається пропозицiєю щодо продажу та/або вiдчуження будь-яким iншим способом акцiй (офертою) iншим акцiонерам Емiтента. Пiсля отримання письмового повiдомлення вiд акцiонера, який має намiр продати та/або здiйснити вiдчуження своїх акцiй третiй особi, Емiтент зобов'язаний протягом двох робочих днiв направити коп</w:t>
            </w:r>
            <w:r>
              <w:rPr>
                <w:rFonts w:ascii="Times New Roman CYR" w:hAnsi="Times New Roman CYR" w:cs="Times New Roman CYR"/>
                <w:kern w:val="0"/>
                <w:sz w:val="22"/>
                <w:szCs w:val="22"/>
              </w:rPr>
              <w:t xml:space="preserve">iї повiдомлення всiм iншим акцiонерам Емiтента шляхом направлення рекомендованих поштових листiв кожному з них. Повiдомлення акцiонерiв Емiтента здiйснюється за рахунок Емiтента. Згiдно з п. 5.6 роздiлу 5 чинної редакцiї Статуту Емiтента, переважне право акцiонерiв на придбання акцiй, що продаються та/або вiдчужуються будь-яким iншим способом, iншими акцiонерами Емiтента, дiє протягом 30 календарних днiв з дня отримання Емiтентом повiдомлення акцiонера про намiр продати та/або здiйснити </w:t>
            </w:r>
            <w:r>
              <w:rPr>
                <w:rFonts w:ascii="Times New Roman CYR" w:hAnsi="Times New Roman CYR" w:cs="Times New Roman CYR"/>
                <w:kern w:val="0"/>
                <w:sz w:val="22"/>
                <w:szCs w:val="22"/>
              </w:rPr>
              <w:lastRenderedPageBreak/>
              <w:t>вiдчуження акцiй буд</w:t>
            </w:r>
            <w:r>
              <w:rPr>
                <w:rFonts w:ascii="Times New Roman CYR" w:hAnsi="Times New Roman CYR" w:cs="Times New Roman CYR"/>
                <w:kern w:val="0"/>
                <w:sz w:val="22"/>
                <w:szCs w:val="22"/>
              </w:rPr>
              <w:t xml:space="preserve">ь-яким iншим способом. Строк переважного права припиняється у разi, якщо до його спливу вiд усiх акцiонерiв Емiтента отриманi письмовi заяви про використання або про вiдмову вiд використання переважного права на придбання акцiй. У вiдповiдностi до п. 5.7 роздiлу 5 чинної редакцiї Статуту Емiтента, протягом строку зазначеного в п. 5.6 роздiлу 5 Статуту Емiтента, акцiонери Емiтента, якi мають намiр скористатись переважним правом на придбання акцiй Емiтента, що пропонуються для продажу та/або вiдчуження акцiй </w:t>
            </w:r>
            <w:r>
              <w:rPr>
                <w:rFonts w:ascii="Times New Roman CYR" w:hAnsi="Times New Roman CYR" w:cs="Times New Roman CYR"/>
                <w:kern w:val="0"/>
                <w:sz w:val="22"/>
                <w:szCs w:val="22"/>
              </w:rPr>
              <w:t>будь-яким iншим способом, направляють вiдповiдне письмове повiдомлення про свiй намiр придбати зазначенi акцiї Емiтента на запропонованих умовах, шляхом його направлення на адресу Емiтента рекомендованим поштовим листом з повiдомленням про вручення або надання безпосередньо до канцелярiї Емiтента. Таке повiдомлення вважається згодою щодо придбання акцiй (акцептом). П. 5.8 роздiлу 5 чинної редакцiї Статуту Емiтента передбачено, що будь-який акцiонер, який письмово не повiдомив Емiтента про своє бажання придб</w:t>
            </w:r>
            <w:r>
              <w:rPr>
                <w:rFonts w:ascii="Times New Roman CYR" w:hAnsi="Times New Roman CYR" w:cs="Times New Roman CYR"/>
                <w:kern w:val="0"/>
                <w:sz w:val="22"/>
                <w:szCs w:val="22"/>
              </w:rPr>
              <w:t xml:space="preserve">ати акцiї, що пропонуються до продажу та/або вiдчуження будь-яким iншим способом, у строк, передбачений п. 5.6 роздiлу 5 Статуту Емiтента, вважається таким, що вiдмовився вiд свого </w:t>
            </w:r>
            <w:r>
              <w:rPr>
                <w:rFonts w:ascii="Times New Roman CYR" w:hAnsi="Times New Roman CYR" w:cs="Times New Roman CYR"/>
                <w:kern w:val="0"/>
                <w:sz w:val="22"/>
                <w:szCs w:val="22"/>
              </w:rPr>
              <w:lastRenderedPageBreak/>
              <w:t>права придбати такi акцiї. Згiдно з п. 5.9 роздiлу 5 чинної редакцiї Статуту Емiтента, протягом 5 днiв, пiсля завершення строку, зазначеного в п. 5.6 роздiлу 5 Статуту Емiтента, генеральний директор Емiтента затверджує кiлькiсть акцiй iз загальної кiлькостi акцiй, що пропонуються до продажу та/або вiдчуження будь-яким iншим спосо</w:t>
            </w:r>
            <w:r>
              <w:rPr>
                <w:rFonts w:ascii="Times New Roman CYR" w:hAnsi="Times New Roman CYR" w:cs="Times New Roman CYR"/>
                <w:kern w:val="0"/>
                <w:sz w:val="22"/>
                <w:szCs w:val="22"/>
              </w:rPr>
              <w:t xml:space="preserve">бом, яку має право придбати кожен з акцiонерiв, що повiдомив Емiтента про свiй намiр придбати такi акцiї. Пiсля цього, але не пiзнiше нiж через 10 днiв пiсля завершення строку, передбаченого п. 5.6 роздiлу 5 Статуту Емiтента, Емiтент надає акцiонеру, який має намiр продати та/або здiйснити вiдчуження акцiй будь-яким iншим способом, письмове повiдомлення про пропозицiї акцiонерiв, що виявили бажання придбати такi акцiї Емiтента, за запропонованою цiною та умовах. Таке повiдомлення має мiстити iнформацiю про </w:t>
            </w:r>
            <w:r>
              <w:rPr>
                <w:rFonts w:ascii="Times New Roman CYR" w:hAnsi="Times New Roman CYR" w:cs="Times New Roman CYR"/>
                <w:kern w:val="0"/>
                <w:sz w:val="22"/>
                <w:szCs w:val="22"/>
              </w:rPr>
              <w:t xml:space="preserve">кiлькiсть акцiонерiв, що виявили бажання придбати такi акцiї Емiтента та кiлькiсть акцiй, яку має право придбати кожен з них. Одночасно з цим, Емiтент направляє таке письмове повiдомлення всiм акцiонерам Емiтента, що виявили бажання придбати акцiї Емiтента. Вiдповiдно до п. 5.10 роздiлу 5 чинної редакцiї Статуту Емiтента, протягом 15 днiв з дати надання Емiтентом акцiонеру, який має намiр продати та/або здiйснити вiдчуження акцiй будь-яким </w:t>
            </w:r>
            <w:r>
              <w:rPr>
                <w:rFonts w:ascii="Times New Roman CYR" w:hAnsi="Times New Roman CYR" w:cs="Times New Roman CYR"/>
                <w:kern w:val="0"/>
                <w:sz w:val="22"/>
                <w:szCs w:val="22"/>
              </w:rPr>
              <w:lastRenderedPageBreak/>
              <w:t>iншим способом, повiдомлення про пропозицiї акцiонерiв, що виявили б</w:t>
            </w:r>
            <w:r>
              <w:rPr>
                <w:rFonts w:ascii="Times New Roman CYR" w:hAnsi="Times New Roman CYR" w:cs="Times New Roman CYR"/>
                <w:kern w:val="0"/>
                <w:sz w:val="22"/>
                <w:szCs w:val="22"/>
              </w:rPr>
              <w:t>ажання придбати такi акцiї Емiтента, за запропонованою цiною та умовах, передбачених п. 5.9 роздiлу 5 Статуту Емiтента, такий акцiонер зобов'язаний укласти (пiдписати) з вiдповiдним(и) акцiонером(ами) договiр (договори) купiвлi-продажу акцiй та/або договори на вiдчуження/придбання акцiй будь-яким iншим способом, а також здiйснити всi iншi дiї, необхiднi, вiдповiдно до вимог чинного законодавства України для набуття акцiонером(ами) права власностi на акцiї. П. 5.11 чинної редакцiї Статуту Емiтента передбачен</w:t>
            </w:r>
            <w:r>
              <w:rPr>
                <w:rFonts w:ascii="Times New Roman CYR" w:hAnsi="Times New Roman CYR" w:cs="Times New Roman CYR"/>
                <w:kern w:val="0"/>
                <w:sz w:val="22"/>
                <w:szCs w:val="22"/>
              </w:rPr>
              <w:t>о, що якщо акцiонери Емiтента не скористаються переважним правом на придбання всiх акцiй, що пропонуються для продажу та/або вiдчуження акцiй будь-яким iншим способом, протягом строку, встановленого п. 5.6 роздiлу 5 Статуту Емiтента, з урахуванням термiну, передбаченого другим реченням п. 5.9 роздiлу 5 Статуту Емiтента, акцiї можуть бути проданi та/або вiдчуженi третiй особi за цiною та на умовах, що повiдомленi акцiонерам Емiтента. Згiдно з п. 5.12 роздiлу 5 чинної редакцiї Статуту Емiтента встановлено, що</w:t>
            </w:r>
            <w:r>
              <w:rPr>
                <w:rFonts w:ascii="Times New Roman CYR" w:hAnsi="Times New Roman CYR" w:cs="Times New Roman CYR"/>
                <w:kern w:val="0"/>
                <w:sz w:val="22"/>
                <w:szCs w:val="22"/>
              </w:rPr>
              <w:t xml:space="preserve"> у разi порушення зазначеного переважного права на придбання акцiй будь-який акцiонер Емiтента має право протягом трьох мiсяцiв з дня, коли вiн дiзнався або </w:t>
            </w:r>
            <w:r>
              <w:rPr>
                <w:rFonts w:ascii="Times New Roman CYR" w:hAnsi="Times New Roman CYR" w:cs="Times New Roman CYR"/>
                <w:kern w:val="0"/>
                <w:sz w:val="22"/>
                <w:szCs w:val="22"/>
              </w:rPr>
              <w:lastRenderedPageBreak/>
              <w:t>повинен був дiзнатися про таке порушення, вимагати в судовому порядку переведення на нього прав та обов'язкiв покупця акцiй та/або набувача прав на них. У вiдповiдностi до п. 5.13 роздiлу 5 чинної редакцiї Статуту Емiтента, уступка зазначеного переважного права iншим особам не допускається. П. 5.14 та п. 5.15 роздiлу 5 чинної редакцiї Статуту Емiтента в</w:t>
            </w:r>
            <w:r>
              <w:rPr>
                <w:rFonts w:ascii="Times New Roman CYR" w:hAnsi="Times New Roman CYR" w:cs="Times New Roman CYR"/>
                <w:kern w:val="0"/>
                <w:sz w:val="22"/>
                <w:szCs w:val="22"/>
              </w:rPr>
              <w:t>изначено, що зазначене переважне право акцiонерiв Емiтента не поширюється на випадки переходу права власностi на цiннi папери Емiтента в результатi їх спадкування чи правонаступництва, а у разi виникнення права звернення стягнення на акцiї Емiтента у зв'язку з їх заставою вiдчуження таких акцiй здiйснюється з дотриманням переважного права акцiонерiв на придбання цих акцiй. П. 5.16 роздiлу 5 чинної редакцiї Статуту Емiтента встановлено, що переважне право Емiтента на придбання акцiй власної емiсiї, що пропон</w:t>
            </w:r>
            <w:r>
              <w:rPr>
                <w:rFonts w:ascii="Times New Roman CYR" w:hAnsi="Times New Roman CYR" w:cs="Times New Roman CYR"/>
                <w:kern w:val="0"/>
                <w:sz w:val="22"/>
                <w:szCs w:val="22"/>
              </w:rPr>
              <w:t>уються їх власником до вiдчуження третiм особам, не допускається.</w:t>
            </w:r>
          </w:p>
        </w:tc>
        <w:tc>
          <w:tcPr>
            <w:tcW w:w="2400" w:type="dxa"/>
            <w:tcBorders>
              <w:top w:val="single" w:sz="6" w:space="0" w:color="auto"/>
              <w:left w:val="single" w:sz="6" w:space="0" w:color="auto"/>
              <w:bottom w:val="single" w:sz="6" w:space="0" w:color="auto"/>
            </w:tcBorders>
          </w:tcPr>
          <w:p w14:paraId="6F1DE6D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безстроково</w:t>
            </w:r>
          </w:p>
        </w:tc>
      </w:tr>
      <w:tr w:rsidR="00000000" w14:paraId="2276885E"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36FC40E5"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Додаткова інформація</w:t>
            </w:r>
          </w:p>
        </w:tc>
        <w:tc>
          <w:tcPr>
            <w:tcW w:w="13900" w:type="dxa"/>
            <w:gridSpan w:val="6"/>
            <w:tcBorders>
              <w:top w:val="single" w:sz="6" w:space="0" w:color="auto"/>
              <w:left w:val="single" w:sz="6" w:space="0" w:color="auto"/>
              <w:bottom w:val="single" w:sz="6" w:space="0" w:color="auto"/>
            </w:tcBorders>
          </w:tcPr>
          <w:p w14:paraId="0652684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tc>
      </w:tr>
    </w:tbl>
    <w:p w14:paraId="385A3034"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76F7FB4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 xml:space="preserve">Інформація про загальну кількість голосуючих акцій та кількість голосуючих акцій, права голосу за якими обмежено, </w:t>
      </w:r>
      <w:r>
        <w:rPr>
          <w:rFonts w:ascii="Times New Roman CYR" w:hAnsi="Times New Roman CYR" w:cs="Times New Roman CYR"/>
          <w:b/>
          <w:bCs/>
          <w:kern w:val="0"/>
        </w:rPr>
        <w:t>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14:paraId="21AD1B90"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226EC79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EEB400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7203F6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1D0342B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21223E6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39C158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4970DB9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Кількість голосуючих акцій, права голосу за якими обмежено, </w:t>
            </w:r>
            <w:r>
              <w:rPr>
                <w:rFonts w:ascii="Times New Roman CYR" w:hAnsi="Times New Roman CYR" w:cs="Times New Roman CYR"/>
                <w:kern w:val="0"/>
                <w:sz w:val="22"/>
                <w:szCs w:val="22"/>
              </w:rPr>
              <w:lastRenderedPageBreak/>
              <w:t>шт.</w:t>
            </w:r>
          </w:p>
        </w:tc>
        <w:tc>
          <w:tcPr>
            <w:tcW w:w="2800" w:type="dxa"/>
            <w:tcBorders>
              <w:top w:val="single" w:sz="6" w:space="0" w:color="auto"/>
              <w:left w:val="single" w:sz="6" w:space="0" w:color="auto"/>
              <w:bottom w:val="single" w:sz="6" w:space="0" w:color="auto"/>
            </w:tcBorders>
            <w:vAlign w:val="center"/>
          </w:tcPr>
          <w:p w14:paraId="09A5334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Кількість голосуючих акцій, права голосу за якими за результатами обмеження таких прав передано іншій особі, шт.</w:t>
            </w:r>
          </w:p>
        </w:tc>
      </w:tr>
      <w:tr w:rsidR="00000000" w14:paraId="749D20F4"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090724F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72215C9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04EAC0D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3CF3B40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100" w:type="dxa"/>
            <w:tcBorders>
              <w:top w:val="single" w:sz="6" w:space="0" w:color="auto"/>
              <w:left w:val="single" w:sz="6" w:space="0" w:color="auto"/>
              <w:bottom w:val="single" w:sz="6" w:space="0" w:color="auto"/>
              <w:right w:val="single" w:sz="6" w:space="0" w:color="auto"/>
            </w:tcBorders>
            <w:vAlign w:val="center"/>
          </w:tcPr>
          <w:p w14:paraId="6C4DF01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500" w:type="dxa"/>
            <w:tcBorders>
              <w:top w:val="single" w:sz="6" w:space="0" w:color="auto"/>
              <w:left w:val="single" w:sz="6" w:space="0" w:color="auto"/>
              <w:bottom w:val="single" w:sz="6" w:space="0" w:color="auto"/>
              <w:right w:val="single" w:sz="6" w:space="0" w:color="auto"/>
            </w:tcBorders>
            <w:vAlign w:val="center"/>
          </w:tcPr>
          <w:p w14:paraId="05009F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500" w:type="dxa"/>
            <w:tcBorders>
              <w:top w:val="single" w:sz="6" w:space="0" w:color="auto"/>
              <w:left w:val="single" w:sz="6" w:space="0" w:color="auto"/>
              <w:bottom w:val="single" w:sz="6" w:space="0" w:color="auto"/>
              <w:right w:val="single" w:sz="6" w:space="0" w:color="auto"/>
            </w:tcBorders>
            <w:vAlign w:val="center"/>
          </w:tcPr>
          <w:p w14:paraId="03E4DFA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2800" w:type="dxa"/>
            <w:tcBorders>
              <w:top w:val="single" w:sz="6" w:space="0" w:color="auto"/>
              <w:left w:val="single" w:sz="6" w:space="0" w:color="auto"/>
              <w:bottom w:val="single" w:sz="6" w:space="0" w:color="auto"/>
            </w:tcBorders>
            <w:vAlign w:val="center"/>
          </w:tcPr>
          <w:p w14:paraId="7E649B0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4BA05EF0"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4B062B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10.04.2015</w:t>
            </w:r>
          </w:p>
        </w:tc>
        <w:tc>
          <w:tcPr>
            <w:tcW w:w="2000" w:type="dxa"/>
            <w:tcBorders>
              <w:top w:val="single" w:sz="6" w:space="0" w:color="auto"/>
              <w:left w:val="single" w:sz="6" w:space="0" w:color="auto"/>
              <w:bottom w:val="single" w:sz="6" w:space="0" w:color="auto"/>
              <w:right w:val="single" w:sz="6" w:space="0" w:color="auto"/>
            </w:tcBorders>
          </w:tcPr>
          <w:p w14:paraId="46C9290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33/1/2015</w:t>
            </w:r>
          </w:p>
        </w:tc>
        <w:tc>
          <w:tcPr>
            <w:tcW w:w="2000" w:type="dxa"/>
            <w:tcBorders>
              <w:top w:val="single" w:sz="6" w:space="0" w:color="auto"/>
              <w:left w:val="single" w:sz="6" w:space="0" w:color="auto"/>
              <w:bottom w:val="single" w:sz="6" w:space="0" w:color="auto"/>
              <w:right w:val="single" w:sz="6" w:space="0" w:color="auto"/>
            </w:tcBorders>
          </w:tcPr>
          <w:p w14:paraId="2E371DC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UA4000172407</w:t>
            </w:r>
          </w:p>
        </w:tc>
        <w:tc>
          <w:tcPr>
            <w:tcW w:w="2000" w:type="dxa"/>
            <w:tcBorders>
              <w:top w:val="single" w:sz="6" w:space="0" w:color="auto"/>
              <w:left w:val="single" w:sz="6" w:space="0" w:color="auto"/>
              <w:bottom w:val="single" w:sz="6" w:space="0" w:color="auto"/>
              <w:right w:val="single" w:sz="6" w:space="0" w:color="auto"/>
            </w:tcBorders>
          </w:tcPr>
          <w:p w14:paraId="137E0B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3 424 222</w:t>
            </w:r>
          </w:p>
        </w:tc>
        <w:tc>
          <w:tcPr>
            <w:tcW w:w="2100" w:type="dxa"/>
            <w:tcBorders>
              <w:top w:val="single" w:sz="6" w:space="0" w:color="auto"/>
              <w:left w:val="single" w:sz="6" w:space="0" w:color="auto"/>
              <w:bottom w:val="single" w:sz="6" w:space="0" w:color="auto"/>
              <w:right w:val="single" w:sz="6" w:space="0" w:color="auto"/>
            </w:tcBorders>
          </w:tcPr>
          <w:p w14:paraId="659C32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1 883 322,1</w:t>
            </w:r>
          </w:p>
        </w:tc>
        <w:tc>
          <w:tcPr>
            <w:tcW w:w="1500" w:type="dxa"/>
            <w:tcBorders>
              <w:top w:val="single" w:sz="6" w:space="0" w:color="auto"/>
              <w:left w:val="single" w:sz="6" w:space="0" w:color="auto"/>
              <w:bottom w:val="single" w:sz="6" w:space="0" w:color="auto"/>
              <w:right w:val="single" w:sz="6" w:space="0" w:color="auto"/>
            </w:tcBorders>
          </w:tcPr>
          <w:p w14:paraId="343CDEB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3 424 222</w:t>
            </w:r>
          </w:p>
        </w:tc>
        <w:tc>
          <w:tcPr>
            <w:tcW w:w="1500" w:type="dxa"/>
            <w:tcBorders>
              <w:top w:val="single" w:sz="6" w:space="0" w:color="auto"/>
              <w:left w:val="single" w:sz="6" w:space="0" w:color="auto"/>
              <w:bottom w:val="single" w:sz="6" w:space="0" w:color="auto"/>
              <w:right w:val="single" w:sz="6" w:space="0" w:color="auto"/>
            </w:tcBorders>
          </w:tcPr>
          <w:p w14:paraId="1E3885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2800" w:type="dxa"/>
            <w:tcBorders>
              <w:top w:val="single" w:sz="6" w:space="0" w:color="auto"/>
              <w:left w:val="single" w:sz="6" w:space="0" w:color="auto"/>
              <w:bottom w:val="single" w:sz="6" w:space="0" w:color="auto"/>
            </w:tcBorders>
          </w:tcPr>
          <w:p w14:paraId="796FA8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C7B2A00"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6267039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3900" w:type="dxa"/>
            <w:gridSpan w:val="7"/>
            <w:tcBorders>
              <w:top w:val="single" w:sz="6" w:space="0" w:color="auto"/>
              <w:left w:val="single" w:sz="6" w:space="0" w:color="auto"/>
              <w:bottom w:val="single" w:sz="6" w:space="0" w:color="auto"/>
            </w:tcBorders>
          </w:tcPr>
          <w:p w14:paraId="2502837D"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Характеристика обмеження: Вiдсутнi обмеження щодо голосуючих акцiй.</w:t>
            </w:r>
          </w:p>
        </w:tc>
      </w:tr>
    </w:tbl>
    <w:p w14:paraId="4C0728C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49B5226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44F5B2C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III. Фінансова інформація</w:t>
      </w:r>
    </w:p>
    <w:p w14:paraId="20D7F1E1" w14:textId="77777777" w:rsidR="009159E6" w:rsidRDefault="009159E6">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2. Річна фінансова звітність</w:t>
      </w:r>
    </w:p>
    <w:p w14:paraId="17671510"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https://www.mondelezinternational.com/ukraine/corporate-information/mdlz-auditors-and-accounting-documents/</w:t>
      </w:r>
    </w:p>
    <w:p w14:paraId="689FD5D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URL-адреса вебсторінки Центру збору фінансової звітності, за якою розміщено електронний файл фінансової звітності: https://portal.frs.gov.ua/PublicData/PublicDataSearch.aspx</w:t>
      </w:r>
    </w:p>
    <w:p w14:paraId="56DC4AF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p>
    <w:p w14:paraId="5C34AAB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6B86F9A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5. Значні правочини та правочини із заінтересованістю</w:t>
      </w:r>
    </w:p>
    <w:p w14:paraId="3424C2E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3000"/>
        <w:gridCol w:w="3000"/>
        <w:gridCol w:w="1500"/>
        <w:gridCol w:w="1500"/>
        <w:gridCol w:w="4400"/>
      </w:tblGrid>
      <w:tr w:rsidR="00000000" w14:paraId="0C3B308B"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155F1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5911722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прийняття рішення про надання згоди на вчинення значного правочину</w:t>
            </w:r>
          </w:p>
        </w:tc>
        <w:tc>
          <w:tcPr>
            <w:tcW w:w="3000" w:type="dxa"/>
            <w:tcBorders>
              <w:top w:val="single" w:sz="6" w:space="0" w:color="auto"/>
              <w:left w:val="single" w:sz="6" w:space="0" w:color="auto"/>
              <w:bottom w:val="single" w:sz="6" w:space="0" w:color="auto"/>
              <w:right w:val="single" w:sz="6" w:space="0" w:color="auto"/>
            </w:tcBorders>
            <w:vAlign w:val="center"/>
          </w:tcPr>
          <w:p w14:paraId="0D56491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на якій розміщена інформація</w:t>
            </w:r>
          </w:p>
        </w:tc>
        <w:tc>
          <w:tcPr>
            <w:tcW w:w="3000" w:type="dxa"/>
            <w:tcBorders>
              <w:top w:val="single" w:sz="6" w:space="0" w:color="auto"/>
              <w:left w:val="single" w:sz="6" w:space="0" w:color="auto"/>
              <w:bottom w:val="single" w:sz="6" w:space="0" w:color="auto"/>
              <w:right w:val="single" w:sz="6" w:space="0" w:color="auto"/>
            </w:tcBorders>
            <w:vAlign w:val="center"/>
          </w:tcPr>
          <w:p w14:paraId="423E0E3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Орган управління, що прийняв рішення</w:t>
            </w:r>
          </w:p>
        </w:tc>
        <w:tc>
          <w:tcPr>
            <w:tcW w:w="1500" w:type="dxa"/>
            <w:tcBorders>
              <w:top w:val="single" w:sz="6" w:space="0" w:color="auto"/>
              <w:left w:val="single" w:sz="6" w:space="0" w:color="auto"/>
              <w:bottom w:val="single" w:sz="6" w:space="0" w:color="auto"/>
              <w:right w:val="single" w:sz="6" w:space="0" w:color="auto"/>
            </w:tcBorders>
            <w:vAlign w:val="center"/>
          </w:tcPr>
          <w:p w14:paraId="61B4CD5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вчинення правочину</w:t>
            </w:r>
          </w:p>
        </w:tc>
        <w:tc>
          <w:tcPr>
            <w:tcW w:w="1500" w:type="dxa"/>
            <w:tcBorders>
              <w:top w:val="single" w:sz="6" w:space="0" w:color="auto"/>
              <w:left w:val="single" w:sz="6" w:space="0" w:color="auto"/>
              <w:bottom w:val="single" w:sz="6" w:space="0" w:color="auto"/>
              <w:right w:val="single" w:sz="6" w:space="0" w:color="auto"/>
            </w:tcBorders>
            <w:vAlign w:val="center"/>
          </w:tcPr>
          <w:p w14:paraId="70366FA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Ринкова вартість правочину</w:t>
            </w:r>
          </w:p>
        </w:tc>
        <w:tc>
          <w:tcPr>
            <w:tcW w:w="4400" w:type="dxa"/>
            <w:tcBorders>
              <w:top w:val="single" w:sz="6" w:space="0" w:color="auto"/>
              <w:left w:val="single" w:sz="6" w:space="0" w:color="auto"/>
              <w:bottom w:val="single" w:sz="6" w:space="0" w:color="auto"/>
            </w:tcBorders>
            <w:vAlign w:val="center"/>
          </w:tcPr>
          <w:p w14:paraId="736531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w:t>
            </w:r>
          </w:p>
        </w:tc>
      </w:tr>
      <w:tr w:rsidR="00000000" w14:paraId="0D87A581"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55C20D8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108EB7E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000" w:type="dxa"/>
            <w:tcBorders>
              <w:top w:val="single" w:sz="6" w:space="0" w:color="auto"/>
              <w:left w:val="single" w:sz="6" w:space="0" w:color="auto"/>
              <w:bottom w:val="single" w:sz="6" w:space="0" w:color="auto"/>
              <w:right w:val="single" w:sz="6" w:space="0" w:color="auto"/>
            </w:tcBorders>
            <w:vAlign w:val="center"/>
          </w:tcPr>
          <w:p w14:paraId="4E3134E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000" w:type="dxa"/>
            <w:tcBorders>
              <w:top w:val="single" w:sz="6" w:space="0" w:color="auto"/>
              <w:left w:val="single" w:sz="6" w:space="0" w:color="auto"/>
              <w:bottom w:val="single" w:sz="6" w:space="0" w:color="auto"/>
              <w:right w:val="single" w:sz="6" w:space="0" w:color="auto"/>
            </w:tcBorders>
            <w:vAlign w:val="center"/>
          </w:tcPr>
          <w:p w14:paraId="50C6D5D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500" w:type="dxa"/>
            <w:tcBorders>
              <w:top w:val="single" w:sz="6" w:space="0" w:color="auto"/>
              <w:left w:val="single" w:sz="6" w:space="0" w:color="auto"/>
              <w:bottom w:val="single" w:sz="6" w:space="0" w:color="auto"/>
              <w:right w:val="single" w:sz="6" w:space="0" w:color="auto"/>
            </w:tcBorders>
            <w:vAlign w:val="center"/>
          </w:tcPr>
          <w:p w14:paraId="77073A4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500" w:type="dxa"/>
            <w:tcBorders>
              <w:top w:val="single" w:sz="6" w:space="0" w:color="auto"/>
              <w:left w:val="single" w:sz="6" w:space="0" w:color="auto"/>
              <w:bottom w:val="single" w:sz="6" w:space="0" w:color="auto"/>
              <w:right w:val="single" w:sz="6" w:space="0" w:color="auto"/>
            </w:tcBorders>
            <w:vAlign w:val="center"/>
          </w:tcPr>
          <w:p w14:paraId="6B52A79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4400" w:type="dxa"/>
            <w:tcBorders>
              <w:top w:val="single" w:sz="6" w:space="0" w:color="auto"/>
              <w:left w:val="single" w:sz="6" w:space="0" w:color="auto"/>
              <w:bottom w:val="single" w:sz="6" w:space="0" w:color="auto"/>
            </w:tcBorders>
            <w:vAlign w:val="center"/>
          </w:tcPr>
          <w:p w14:paraId="5CF3BC3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r>
      <w:tr w:rsidR="00000000" w14:paraId="30A2F74E"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27E5097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18A854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3000" w:type="dxa"/>
            <w:tcBorders>
              <w:top w:val="single" w:sz="6" w:space="0" w:color="auto"/>
              <w:left w:val="single" w:sz="6" w:space="0" w:color="auto"/>
              <w:bottom w:val="single" w:sz="6" w:space="0" w:color="auto"/>
              <w:right w:val="single" w:sz="6" w:space="0" w:color="auto"/>
            </w:tcBorders>
          </w:tcPr>
          <w:p w14:paraId="0CBD7BA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5C3E6DE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620AC00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1500" w:type="dxa"/>
            <w:tcBorders>
              <w:top w:val="single" w:sz="6" w:space="0" w:color="auto"/>
              <w:left w:val="single" w:sz="6" w:space="0" w:color="auto"/>
              <w:bottom w:val="single" w:sz="6" w:space="0" w:color="auto"/>
              <w:right w:val="single" w:sz="6" w:space="0" w:color="auto"/>
            </w:tcBorders>
          </w:tcPr>
          <w:p w14:paraId="5176DF6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585 097,6</w:t>
            </w:r>
          </w:p>
        </w:tc>
        <w:tc>
          <w:tcPr>
            <w:tcW w:w="4400" w:type="dxa"/>
            <w:tcBorders>
              <w:top w:val="single" w:sz="6" w:space="0" w:color="auto"/>
              <w:left w:val="single" w:sz="6" w:space="0" w:color="auto"/>
              <w:bottom w:val="single" w:sz="6" w:space="0" w:color="auto"/>
            </w:tcBorders>
          </w:tcPr>
          <w:p w14:paraId="586672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Доповнення №21 до Генерального договору про короткостроковi кредити №325 вiд 28.01.2008 з АТ "Сiтiбанк" про збiльшення короткострокових кредитiв на загальну суму до 16 000 000 (шiстнадцяти мiльйонiв) доларiв США, що у перерахунку за офiцiйним курсом Нацiонального банку України на дату рiшення складає 585 097,6 тис.грн.</w:t>
            </w:r>
          </w:p>
          <w:p w14:paraId="6D54B50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5B0FAA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короткостроковi кредити.</w:t>
            </w:r>
          </w:p>
          <w:p w14:paraId="518D768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B08A49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585 097,6 тис. грн. </w:t>
            </w:r>
          </w:p>
          <w:p w14:paraId="559EC0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65BDA9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4CDD261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B0C629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19,0014997314253 %. </w:t>
            </w:r>
          </w:p>
          <w:p w14:paraId="052FAB0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0BFFEE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C3293DD"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76F629D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2</w:t>
            </w:r>
          </w:p>
        </w:tc>
        <w:tc>
          <w:tcPr>
            <w:tcW w:w="1450" w:type="dxa"/>
            <w:tcBorders>
              <w:top w:val="single" w:sz="6" w:space="0" w:color="auto"/>
              <w:left w:val="single" w:sz="6" w:space="0" w:color="auto"/>
              <w:bottom w:val="single" w:sz="6" w:space="0" w:color="auto"/>
              <w:right w:val="single" w:sz="6" w:space="0" w:color="auto"/>
            </w:tcBorders>
          </w:tcPr>
          <w:p w14:paraId="5CAF703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3000" w:type="dxa"/>
            <w:tcBorders>
              <w:top w:val="single" w:sz="6" w:space="0" w:color="auto"/>
              <w:left w:val="single" w:sz="6" w:space="0" w:color="auto"/>
              <w:bottom w:val="single" w:sz="6" w:space="0" w:color="auto"/>
              <w:right w:val="single" w:sz="6" w:space="0" w:color="auto"/>
            </w:tcBorders>
          </w:tcPr>
          <w:p w14:paraId="51711C3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7B53435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444B3BA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1500" w:type="dxa"/>
            <w:tcBorders>
              <w:top w:val="single" w:sz="6" w:space="0" w:color="auto"/>
              <w:left w:val="single" w:sz="6" w:space="0" w:color="auto"/>
              <w:bottom w:val="single" w:sz="6" w:space="0" w:color="auto"/>
              <w:right w:val="single" w:sz="6" w:space="0" w:color="auto"/>
            </w:tcBorders>
          </w:tcPr>
          <w:p w14:paraId="153BF71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2 568 000</w:t>
            </w:r>
          </w:p>
        </w:tc>
        <w:tc>
          <w:tcPr>
            <w:tcW w:w="4400" w:type="dxa"/>
            <w:tcBorders>
              <w:top w:val="single" w:sz="6" w:space="0" w:color="auto"/>
              <w:left w:val="single" w:sz="6" w:space="0" w:color="auto"/>
              <w:bottom w:val="single" w:sz="6" w:space="0" w:color="auto"/>
            </w:tcBorders>
          </w:tcPr>
          <w:p w14:paraId="388318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Дистриб'юторського договору №SL 2300-8916 вiд 27.03.2023 з ТОВ "Iмпульс Схiд".</w:t>
            </w:r>
          </w:p>
          <w:p w14:paraId="184FDC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ADCA9E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iз замовленнями.</w:t>
            </w:r>
          </w:p>
          <w:p w14:paraId="0E6DCE6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594A2C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2 568 000 тис. грн. </w:t>
            </w:r>
          </w:p>
          <w:p w14:paraId="5234B5A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B2ABFC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420D3B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0B9D62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83,3977977525463%. </w:t>
            </w:r>
          </w:p>
          <w:p w14:paraId="445A09E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D3B04C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8589F38"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6B5F7C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49298E6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3000" w:type="dxa"/>
            <w:tcBorders>
              <w:top w:val="single" w:sz="6" w:space="0" w:color="auto"/>
              <w:left w:val="single" w:sz="6" w:space="0" w:color="auto"/>
              <w:bottom w:val="single" w:sz="6" w:space="0" w:color="auto"/>
              <w:right w:val="single" w:sz="6" w:space="0" w:color="auto"/>
            </w:tcBorders>
          </w:tcPr>
          <w:p w14:paraId="5A48B08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31A8095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167B75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1500" w:type="dxa"/>
            <w:tcBorders>
              <w:top w:val="single" w:sz="6" w:space="0" w:color="auto"/>
              <w:left w:val="single" w:sz="6" w:space="0" w:color="auto"/>
              <w:bottom w:val="single" w:sz="6" w:space="0" w:color="auto"/>
              <w:right w:val="single" w:sz="6" w:space="0" w:color="auto"/>
            </w:tcBorders>
          </w:tcPr>
          <w:p w14:paraId="1967A95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6 144 000</w:t>
            </w:r>
          </w:p>
        </w:tc>
        <w:tc>
          <w:tcPr>
            <w:tcW w:w="4400" w:type="dxa"/>
            <w:tcBorders>
              <w:top w:val="single" w:sz="6" w:space="0" w:color="auto"/>
              <w:left w:val="single" w:sz="6" w:space="0" w:color="auto"/>
              <w:bottom w:val="single" w:sz="6" w:space="0" w:color="auto"/>
            </w:tcBorders>
          </w:tcPr>
          <w:p w14:paraId="38D92B5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Дистриб'юторського договору №SL 2300-8917 вiд 27.03.2023 з ТОВ "Спринтер Центр".</w:t>
            </w:r>
          </w:p>
          <w:p w14:paraId="7E60077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50C154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iз замовленнями.</w:t>
            </w:r>
          </w:p>
          <w:p w14:paraId="7B9A5BE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BC39AF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6 144 000 тис. грн. </w:t>
            </w:r>
          </w:p>
          <w:p w14:paraId="4A1C892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3C5DF5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19165F2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A4D44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w:t>
            </w:r>
            <w:r>
              <w:rPr>
                <w:rFonts w:ascii="Times New Roman CYR" w:hAnsi="Times New Roman CYR" w:cs="Times New Roman CYR"/>
                <w:kern w:val="0"/>
                <w:sz w:val="22"/>
                <w:szCs w:val="22"/>
              </w:rPr>
              <w:lastRenderedPageBreak/>
              <w:t xml:space="preserve">даними останньої рiчної фiнансової звiтностi: 199,531179669643%. </w:t>
            </w:r>
          </w:p>
          <w:p w14:paraId="5153043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8D6827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7BDF7D9"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5AE10EF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4</w:t>
            </w:r>
          </w:p>
        </w:tc>
        <w:tc>
          <w:tcPr>
            <w:tcW w:w="1450" w:type="dxa"/>
            <w:tcBorders>
              <w:top w:val="single" w:sz="6" w:space="0" w:color="auto"/>
              <w:left w:val="single" w:sz="6" w:space="0" w:color="auto"/>
              <w:bottom w:val="single" w:sz="6" w:space="0" w:color="auto"/>
              <w:right w:val="single" w:sz="6" w:space="0" w:color="auto"/>
            </w:tcBorders>
          </w:tcPr>
          <w:p w14:paraId="070821F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3000" w:type="dxa"/>
            <w:tcBorders>
              <w:top w:val="single" w:sz="6" w:space="0" w:color="auto"/>
              <w:left w:val="single" w:sz="6" w:space="0" w:color="auto"/>
              <w:bottom w:val="single" w:sz="6" w:space="0" w:color="auto"/>
              <w:right w:val="single" w:sz="6" w:space="0" w:color="auto"/>
            </w:tcBorders>
          </w:tcPr>
          <w:p w14:paraId="5E0B49A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72159ED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рiшення прийнято єдиним (одноосiбним) акцiонером Товариства</w:t>
            </w:r>
          </w:p>
        </w:tc>
        <w:tc>
          <w:tcPr>
            <w:tcW w:w="1500" w:type="dxa"/>
            <w:tcBorders>
              <w:top w:val="single" w:sz="6" w:space="0" w:color="auto"/>
              <w:left w:val="single" w:sz="6" w:space="0" w:color="auto"/>
              <w:bottom w:val="single" w:sz="6" w:space="0" w:color="auto"/>
              <w:right w:val="single" w:sz="6" w:space="0" w:color="auto"/>
            </w:tcBorders>
          </w:tcPr>
          <w:p w14:paraId="427AFA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29.05.2023</w:t>
            </w:r>
          </w:p>
        </w:tc>
        <w:tc>
          <w:tcPr>
            <w:tcW w:w="1500" w:type="dxa"/>
            <w:tcBorders>
              <w:top w:val="single" w:sz="6" w:space="0" w:color="auto"/>
              <w:left w:val="single" w:sz="6" w:space="0" w:color="auto"/>
              <w:bottom w:val="single" w:sz="6" w:space="0" w:color="auto"/>
              <w:right w:val="single" w:sz="6" w:space="0" w:color="auto"/>
            </w:tcBorders>
          </w:tcPr>
          <w:p w14:paraId="02FAA86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3 834 000</w:t>
            </w:r>
          </w:p>
        </w:tc>
        <w:tc>
          <w:tcPr>
            <w:tcW w:w="4400" w:type="dxa"/>
            <w:tcBorders>
              <w:top w:val="single" w:sz="6" w:space="0" w:color="auto"/>
              <w:left w:val="single" w:sz="6" w:space="0" w:color="auto"/>
              <w:bottom w:val="single" w:sz="6" w:space="0" w:color="auto"/>
            </w:tcBorders>
          </w:tcPr>
          <w:p w14:paraId="651A522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Дистриб'юторського договору №SL 2300-8918 вiд 27.03.2023 з ТОВ "Спринтер Схiд".</w:t>
            </w:r>
          </w:p>
          <w:p w14:paraId="3DCD7B0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EF4BCF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iз замовленнями.</w:t>
            </w:r>
          </w:p>
          <w:p w14:paraId="5E0317C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7B39C9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3 834 000 тис. грн. </w:t>
            </w:r>
          </w:p>
          <w:p w14:paraId="008AECE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CB0100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39646EE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D008C4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124,512132625881%. </w:t>
            </w:r>
          </w:p>
          <w:p w14:paraId="79128E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7F5B21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233FD8F"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1DD9EAF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450" w:type="dxa"/>
            <w:tcBorders>
              <w:top w:val="single" w:sz="6" w:space="0" w:color="auto"/>
              <w:left w:val="single" w:sz="6" w:space="0" w:color="auto"/>
              <w:bottom w:val="single" w:sz="6" w:space="0" w:color="auto"/>
              <w:right w:val="single" w:sz="6" w:space="0" w:color="auto"/>
            </w:tcBorders>
          </w:tcPr>
          <w:p w14:paraId="4C18DDB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11.07.2023</w:t>
            </w:r>
          </w:p>
        </w:tc>
        <w:tc>
          <w:tcPr>
            <w:tcW w:w="3000" w:type="dxa"/>
            <w:tcBorders>
              <w:top w:val="single" w:sz="6" w:space="0" w:color="auto"/>
              <w:left w:val="single" w:sz="6" w:space="0" w:color="auto"/>
              <w:bottom w:val="single" w:sz="6" w:space="0" w:color="auto"/>
              <w:right w:val="single" w:sz="6" w:space="0" w:color="auto"/>
            </w:tcBorders>
          </w:tcPr>
          <w:p w14:paraId="70FEFF0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018AEDA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49CB594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11.07.2023</w:t>
            </w:r>
          </w:p>
        </w:tc>
        <w:tc>
          <w:tcPr>
            <w:tcW w:w="1500" w:type="dxa"/>
            <w:tcBorders>
              <w:top w:val="single" w:sz="6" w:space="0" w:color="auto"/>
              <w:left w:val="single" w:sz="6" w:space="0" w:color="auto"/>
              <w:bottom w:val="single" w:sz="6" w:space="0" w:color="auto"/>
              <w:right w:val="single" w:sz="6" w:space="0" w:color="auto"/>
            </w:tcBorders>
          </w:tcPr>
          <w:p w14:paraId="192E166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340 532,95</w:t>
            </w:r>
          </w:p>
        </w:tc>
        <w:tc>
          <w:tcPr>
            <w:tcW w:w="4400" w:type="dxa"/>
            <w:tcBorders>
              <w:top w:val="single" w:sz="6" w:space="0" w:color="auto"/>
              <w:left w:val="single" w:sz="6" w:space="0" w:color="auto"/>
              <w:bottom w:val="single" w:sz="6" w:space="0" w:color="auto"/>
            </w:tcBorders>
          </w:tcPr>
          <w:p w14:paraId="181E1F2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Укладення Доповнення №22 вiд 11.07.2023 до Контракту №1800-8103 вiд 08.05.2018 мiж ПрАТ "Монделiс Україна" та ТОВ "Шериф" про збiльшення загальної вартостi контракту до 8 500 000 (восьми мiльйонiв п'ятсот тисяч) євро, що у перерахунку за офiцiйним курсом Нацiонального банку України на дату прийняття рiшення складає 340 532,95 тис.грн.  </w:t>
            </w:r>
          </w:p>
          <w:p w14:paraId="569EA5D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F4CEE3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з специфiкацiями.</w:t>
            </w:r>
          </w:p>
          <w:p w14:paraId="655A936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ED5F32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w:t>
            </w:r>
            <w:r>
              <w:rPr>
                <w:rFonts w:ascii="Times New Roman CYR" w:hAnsi="Times New Roman CYR" w:cs="Times New Roman CYR"/>
                <w:kern w:val="0"/>
                <w:sz w:val="22"/>
                <w:szCs w:val="22"/>
              </w:rPr>
              <w:lastRenderedPageBreak/>
              <w:t xml:space="preserve">визначена вiдповiдно до законодавства: 340 532,95 тис. грн. </w:t>
            </w:r>
          </w:p>
          <w:p w14:paraId="50DE922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59A0B0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01A701F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F03071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11,0590724658014%. </w:t>
            </w:r>
          </w:p>
        </w:tc>
      </w:tr>
      <w:tr w:rsidR="00000000" w14:paraId="233B717D"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0F93343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6</w:t>
            </w:r>
          </w:p>
        </w:tc>
        <w:tc>
          <w:tcPr>
            <w:tcW w:w="1450" w:type="dxa"/>
            <w:tcBorders>
              <w:top w:val="single" w:sz="6" w:space="0" w:color="auto"/>
              <w:left w:val="single" w:sz="6" w:space="0" w:color="auto"/>
              <w:bottom w:val="single" w:sz="6" w:space="0" w:color="auto"/>
              <w:right w:val="single" w:sz="6" w:space="0" w:color="auto"/>
            </w:tcBorders>
          </w:tcPr>
          <w:p w14:paraId="1D47C11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17.10.2023</w:t>
            </w:r>
          </w:p>
        </w:tc>
        <w:tc>
          <w:tcPr>
            <w:tcW w:w="3000" w:type="dxa"/>
            <w:tcBorders>
              <w:top w:val="single" w:sz="6" w:space="0" w:color="auto"/>
              <w:left w:val="single" w:sz="6" w:space="0" w:color="auto"/>
              <w:bottom w:val="single" w:sz="6" w:space="0" w:color="auto"/>
              <w:right w:val="single" w:sz="6" w:space="0" w:color="auto"/>
            </w:tcBorders>
          </w:tcPr>
          <w:p w14:paraId="64C8047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685F68D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2F471C9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17.10.2023</w:t>
            </w:r>
          </w:p>
        </w:tc>
        <w:tc>
          <w:tcPr>
            <w:tcW w:w="1500" w:type="dxa"/>
            <w:tcBorders>
              <w:top w:val="single" w:sz="6" w:space="0" w:color="auto"/>
              <w:left w:val="single" w:sz="6" w:space="0" w:color="auto"/>
              <w:bottom w:val="single" w:sz="6" w:space="0" w:color="auto"/>
              <w:right w:val="single" w:sz="6" w:space="0" w:color="auto"/>
            </w:tcBorders>
          </w:tcPr>
          <w:p w14:paraId="56207DB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1 148 418</w:t>
            </w:r>
          </w:p>
        </w:tc>
        <w:tc>
          <w:tcPr>
            <w:tcW w:w="4400" w:type="dxa"/>
            <w:tcBorders>
              <w:top w:val="single" w:sz="6" w:space="0" w:color="auto"/>
              <w:left w:val="single" w:sz="6" w:space="0" w:color="auto"/>
              <w:bottom w:val="single" w:sz="6" w:space="0" w:color="auto"/>
            </w:tcBorders>
          </w:tcPr>
          <w:p w14:paraId="3783731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укладення Доповнення №30 вiд 17.10.2023 до Контракту №RM 1900-8481 вiд 02.12.2019 мiж ПрАТ "Монделiс Україна" та TOUTON S.A. про збiльшення загальної вартостi контракту до 30 000 000,00 (тридцять мiльйонiв) євро, що у перерахунку за офiцiйним курсом Нацiонального банку України на дату рiшення складає 1 148 418 тис.грн.   </w:t>
            </w:r>
          </w:p>
          <w:p w14:paraId="48E2967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7B22E2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Предмет правочину: поставка товару згiдно зi специфiкацiями.  </w:t>
            </w:r>
          </w:p>
          <w:p w14:paraId="49A1D52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07C09F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1 148 418 тис. грн. </w:t>
            </w:r>
          </w:p>
          <w:p w14:paraId="11975B2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6904B1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189CC6F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189818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37,2957679514734%. </w:t>
            </w:r>
          </w:p>
        </w:tc>
      </w:tr>
      <w:tr w:rsidR="00000000" w14:paraId="24423552"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3A7D808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450" w:type="dxa"/>
            <w:tcBorders>
              <w:top w:val="single" w:sz="6" w:space="0" w:color="auto"/>
              <w:left w:val="single" w:sz="6" w:space="0" w:color="auto"/>
              <w:bottom w:val="single" w:sz="6" w:space="0" w:color="auto"/>
              <w:right w:val="single" w:sz="6" w:space="0" w:color="auto"/>
            </w:tcBorders>
          </w:tcPr>
          <w:p w14:paraId="7BB8BD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17.11.2023</w:t>
            </w:r>
          </w:p>
        </w:tc>
        <w:tc>
          <w:tcPr>
            <w:tcW w:w="3000" w:type="dxa"/>
            <w:tcBorders>
              <w:top w:val="single" w:sz="6" w:space="0" w:color="auto"/>
              <w:left w:val="single" w:sz="6" w:space="0" w:color="auto"/>
              <w:bottom w:val="single" w:sz="6" w:space="0" w:color="auto"/>
              <w:right w:val="single" w:sz="6" w:space="0" w:color="auto"/>
            </w:tcBorders>
          </w:tcPr>
          <w:p w14:paraId="793C0E5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0FFE6BA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2E75D0D9"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17.11.2023</w:t>
            </w:r>
          </w:p>
        </w:tc>
        <w:tc>
          <w:tcPr>
            <w:tcW w:w="1500" w:type="dxa"/>
            <w:tcBorders>
              <w:top w:val="single" w:sz="6" w:space="0" w:color="auto"/>
              <w:left w:val="single" w:sz="6" w:space="0" w:color="auto"/>
              <w:bottom w:val="single" w:sz="6" w:space="0" w:color="auto"/>
              <w:right w:val="single" w:sz="6" w:space="0" w:color="auto"/>
            </w:tcBorders>
          </w:tcPr>
          <w:p w14:paraId="78D9D81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586 725,04</w:t>
            </w:r>
          </w:p>
        </w:tc>
        <w:tc>
          <w:tcPr>
            <w:tcW w:w="4400" w:type="dxa"/>
            <w:tcBorders>
              <w:top w:val="single" w:sz="6" w:space="0" w:color="auto"/>
              <w:left w:val="single" w:sz="6" w:space="0" w:color="auto"/>
              <w:bottom w:val="single" w:sz="6" w:space="0" w:color="auto"/>
            </w:tcBorders>
          </w:tcPr>
          <w:p w14:paraId="5844D51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Укладення Додатку А-5 до Генеральної Угоди про закупiвлю Товарiв №RM 2100-8747 вiд 10.09.2021мiж ПрАТ </w:t>
            </w:r>
            <w:r>
              <w:rPr>
                <w:rFonts w:ascii="Times New Roman CYR" w:hAnsi="Times New Roman CYR" w:cs="Times New Roman CYR"/>
                <w:kern w:val="0"/>
                <w:sz w:val="22"/>
                <w:szCs w:val="22"/>
              </w:rPr>
              <w:lastRenderedPageBreak/>
              <w:t>"Монделiс Україна" та ТОВ "Цукорагропром" про збiльшення загальної вартостi договору до 502 907 176,50 грн (п'ятсот два мiльйони девятсот сiм тисяч сто сiмдесят шiсть грн. i 50 коп.), в тому числi ПДВ 83 817 862,75 грн. (вiсiмдесят три мiльйони вiсiмсот сiмнадцять тисяч вiсiмсот шiстдесят двi грн i 50 коп.).</w:t>
            </w:r>
          </w:p>
          <w:p w14:paraId="63AF6CE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BF1D7C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зi специфiкацiями.</w:t>
            </w:r>
          </w:p>
          <w:p w14:paraId="67F08CF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25BDF9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586 725,04 тис. грн. </w:t>
            </w:r>
          </w:p>
          <w:p w14:paraId="699DFF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D6FC69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74218D9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642408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19,0543521114777%. </w:t>
            </w:r>
          </w:p>
          <w:p w14:paraId="76B3924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1FF8F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4C5E0E3"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1B044EA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8</w:t>
            </w:r>
          </w:p>
        </w:tc>
        <w:tc>
          <w:tcPr>
            <w:tcW w:w="1450" w:type="dxa"/>
            <w:tcBorders>
              <w:top w:val="single" w:sz="6" w:space="0" w:color="auto"/>
              <w:left w:val="single" w:sz="6" w:space="0" w:color="auto"/>
              <w:bottom w:val="single" w:sz="6" w:space="0" w:color="auto"/>
              <w:right w:val="single" w:sz="6" w:space="0" w:color="auto"/>
            </w:tcBorders>
          </w:tcPr>
          <w:p w14:paraId="0F4B0C0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19.12.2023</w:t>
            </w:r>
          </w:p>
        </w:tc>
        <w:tc>
          <w:tcPr>
            <w:tcW w:w="3000" w:type="dxa"/>
            <w:tcBorders>
              <w:top w:val="single" w:sz="6" w:space="0" w:color="auto"/>
              <w:left w:val="single" w:sz="6" w:space="0" w:color="auto"/>
              <w:bottom w:val="single" w:sz="6" w:space="0" w:color="auto"/>
              <w:right w:val="single" w:sz="6" w:space="0" w:color="auto"/>
            </w:tcBorders>
          </w:tcPr>
          <w:p w14:paraId="4D1A3A5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023C2F5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59F0BE0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19.12.2023</w:t>
            </w:r>
          </w:p>
        </w:tc>
        <w:tc>
          <w:tcPr>
            <w:tcW w:w="1500" w:type="dxa"/>
            <w:tcBorders>
              <w:top w:val="single" w:sz="6" w:space="0" w:color="auto"/>
              <w:left w:val="single" w:sz="6" w:space="0" w:color="auto"/>
              <w:bottom w:val="single" w:sz="6" w:space="0" w:color="auto"/>
              <w:right w:val="single" w:sz="6" w:space="0" w:color="auto"/>
            </w:tcBorders>
          </w:tcPr>
          <w:p w14:paraId="03B6C6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9 420 000</w:t>
            </w:r>
          </w:p>
        </w:tc>
        <w:tc>
          <w:tcPr>
            <w:tcW w:w="4400" w:type="dxa"/>
            <w:tcBorders>
              <w:top w:val="single" w:sz="6" w:space="0" w:color="auto"/>
              <w:left w:val="single" w:sz="6" w:space="0" w:color="auto"/>
              <w:bottom w:val="single" w:sz="6" w:space="0" w:color="auto"/>
            </w:tcBorders>
          </w:tcPr>
          <w:p w14:paraId="15E8D5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Дистриб'юторського договору №SL 2300-9084 вiд 01.01.2024 мiж ПрАТ "Монделiс Україна" та ТОВ "СТВ СХIД".</w:t>
            </w:r>
          </w:p>
          <w:p w14:paraId="205BAB7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7CCDF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з замовленнями.</w:t>
            </w:r>
          </w:p>
          <w:p w14:paraId="09A1363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8AACB5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Ринкова вартiсть майна або послуг чи сума коштiв, що є предметом правочину, визначена вiдповiдно до законодавства: 9 420 000 тис. грн. </w:t>
            </w:r>
          </w:p>
          <w:p w14:paraId="1B482BF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ACA73C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w:t>
            </w:r>
            <w:r>
              <w:rPr>
                <w:rFonts w:ascii="Times New Roman CYR" w:hAnsi="Times New Roman CYR" w:cs="Times New Roman CYR"/>
                <w:kern w:val="0"/>
                <w:sz w:val="22"/>
                <w:szCs w:val="22"/>
              </w:rPr>
              <w:lastRenderedPageBreak/>
              <w:t xml:space="preserve">218 тис.грн. </w:t>
            </w:r>
          </w:p>
          <w:p w14:paraId="03C847C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5755BE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305,921828204434%. </w:t>
            </w:r>
          </w:p>
          <w:p w14:paraId="72538DD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A76A5D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98F7058"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3651108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9</w:t>
            </w:r>
          </w:p>
        </w:tc>
        <w:tc>
          <w:tcPr>
            <w:tcW w:w="1450" w:type="dxa"/>
            <w:tcBorders>
              <w:top w:val="single" w:sz="6" w:space="0" w:color="auto"/>
              <w:left w:val="single" w:sz="6" w:space="0" w:color="auto"/>
              <w:bottom w:val="single" w:sz="6" w:space="0" w:color="auto"/>
              <w:right w:val="single" w:sz="6" w:space="0" w:color="auto"/>
            </w:tcBorders>
          </w:tcPr>
          <w:p w14:paraId="5EF3B70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19.12.2023</w:t>
            </w:r>
          </w:p>
        </w:tc>
        <w:tc>
          <w:tcPr>
            <w:tcW w:w="3000" w:type="dxa"/>
            <w:tcBorders>
              <w:top w:val="single" w:sz="6" w:space="0" w:color="auto"/>
              <w:left w:val="single" w:sz="6" w:space="0" w:color="auto"/>
              <w:bottom w:val="single" w:sz="6" w:space="0" w:color="auto"/>
              <w:right w:val="single" w:sz="6" w:space="0" w:color="auto"/>
            </w:tcBorders>
          </w:tcPr>
          <w:p w14:paraId="46C152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https://www.mondelezinternational.com/ukraine/corporate-information/special-information/</w:t>
            </w:r>
          </w:p>
        </w:tc>
        <w:tc>
          <w:tcPr>
            <w:tcW w:w="3000" w:type="dxa"/>
            <w:tcBorders>
              <w:top w:val="single" w:sz="6" w:space="0" w:color="auto"/>
              <w:left w:val="single" w:sz="6" w:space="0" w:color="auto"/>
              <w:bottom w:val="single" w:sz="6" w:space="0" w:color="auto"/>
              <w:right w:val="single" w:sz="6" w:space="0" w:color="auto"/>
            </w:tcBorders>
          </w:tcPr>
          <w:p w14:paraId="0196F73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Єдиний (одноосiбний) акцiонер Товариства</w:t>
            </w:r>
          </w:p>
        </w:tc>
        <w:tc>
          <w:tcPr>
            <w:tcW w:w="1500" w:type="dxa"/>
            <w:tcBorders>
              <w:top w:val="single" w:sz="6" w:space="0" w:color="auto"/>
              <w:left w:val="single" w:sz="6" w:space="0" w:color="auto"/>
              <w:bottom w:val="single" w:sz="6" w:space="0" w:color="auto"/>
              <w:right w:val="single" w:sz="6" w:space="0" w:color="auto"/>
            </w:tcBorders>
          </w:tcPr>
          <w:p w14:paraId="179787E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19.12.2023</w:t>
            </w:r>
          </w:p>
        </w:tc>
        <w:tc>
          <w:tcPr>
            <w:tcW w:w="1500" w:type="dxa"/>
            <w:tcBorders>
              <w:top w:val="single" w:sz="6" w:space="0" w:color="auto"/>
              <w:left w:val="single" w:sz="6" w:space="0" w:color="auto"/>
              <w:bottom w:val="single" w:sz="6" w:space="0" w:color="auto"/>
              <w:right w:val="single" w:sz="6" w:space="0" w:color="auto"/>
            </w:tcBorders>
          </w:tcPr>
          <w:p w14:paraId="2B463B62"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8 688 000</w:t>
            </w:r>
          </w:p>
        </w:tc>
        <w:tc>
          <w:tcPr>
            <w:tcW w:w="4400" w:type="dxa"/>
            <w:tcBorders>
              <w:top w:val="single" w:sz="6" w:space="0" w:color="auto"/>
              <w:left w:val="single" w:sz="6" w:space="0" w:color="auto"/>
              <w:bottom w:val="single" w:sz="6" w:space="0" w:color="auto"/>
            </w:tcBorders>
          </w:tcPr>
          <w:p w14:paraId="4060EAF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Дистриб'юторського договору №SL 2300-9085 вiд 01.01.2024 мiж ПрАТ "Монделiс Україна" та ТОВ "СТВ ЦЕНТР".</w:t>
            </w:r>
          </w:p>
          <w:p w14:paraId="6123DFE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852CB4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поставка товару згiдно з замовленнями.</w:t>
            </w:r>
          </w:p>
          <w:p w14:paraId="5B4C91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370CC2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Ринкова вартiсть майна а</w:t>
            </w:r>
            <w:r>
              <w:rPr>
                <w:rFonts w:ascii="Times New Roman CYR" w:hAnsi="Times New Roman CYR" w:cs="Times New Roman CYR"/>
                <w:kern w:val="0"/>
                <w:sz w:val="22"/>
                <w:szCs w:val="22"/>
              </w:rPr>
              <w:t xml:space="preserve">бо послуг чи сума коштiв, що є предметом правочину, визначена вiдповiдно до законодавства: 8 688 000 тис. грн. </w:t>
            </w:r>
          </w:p>
          <w:p w14:paraId="3955300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41FCB3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Вартiсть активiв емiтента за даними останньої рiчної фiнансової звiтностi: 3 079 218 тис.грн. </w:t>
            </w:r>
          </w:p>
          <w:p w14:paraId="22C4CF6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3569AD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Спiввiдношення ринкової вартостi майна або послуг чи суми коштiв, що є предметом правочину, до вартостi активiв емiтента за даними останньої рiчної фiнансової звiтностi: 282,149558751605%. </w:t>
            </w:r>
          </w:p>
          <w:p w14:paraId="5C7FB2F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A01FE8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7ED5A2E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64D67371"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1217B0D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4. Дивіденди</w:t>
      </w:r>
    </w:p>
    <w:p w14:paraId="31E8B699"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виплату дивідендів та інших доходів за цінними паперами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3000"/>
        <w:gridCol w:w="2500"/>
        <w:gridCol w:w="2500"/>
      </w:tblGrid>
      <w:tr w:rsidR="00000000" w14:paraId="1367AE33" w14:textId="77777777">
        <w:tblPrEx>
          <w:tblCellMar>
            <w:top w:w="0" w:type="dxa"/>
            <w:bottom w:w="0" w:type="dxa"/>
          </w:tblCellMar>
        </w:tblPrEx>
        <w:trPr>
          <w:trHeight w:val="200"/>
        </w:trPr>
        <w:tc>
          <w:tcPr>
            <w:tcW w:w="5000" w:type="dxa"/>
            <w:gridSpan w:val="2"/>
            <w:vMerge w:val="restart"/>
            <w:tcBorders>
              <w:top w:val="single" w:sz="6" w:space="0" w:color="auto"/>
              <w:bottom w:val="nil"/>
              <w:right w:val="single" w:sz="6" w:space="0" w:color="auto"/>
            </w:tcBorders>
            <w:vAlign w:val="center"/>
          </w:tcPr>
          <w:p w14:paraId="47B1DAC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Інформація про виплату дивідендів</w:t>
            </w:r>
          </w:p>
        </w:tc>
        <w:tc>
          <w:tcPr>
            <w:tcW w:w="5000" w:type="dxa"/>
            <w:gridSpan w:val="2"/>
            <w:tcBorders>
              <w:top w:val="single" w:sz="6" w:space="0" w:color="auto"/>
              <w:left w:val="single" w:sz="6" w:space="0" w:color="auto"/>
              <w:bottom w:val="single" w:sz="6" w:space="0" w:color="auto"/>
            </w:tcBorders>
            <w:vAlign w:val="center"/>
          </w:tcPr>
          <w:p w14:paraId="0D23044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 звітному періоді</w:t>
            </w:r>
          </w:p>
        </w:tc>
      </w:tr>
      <w:tr w:rsidR="00000000" w14:paraId="323399DC" w14:textId="77777777">
        <w:tblPrEx>
          <w:tblCellMar>
            <w:top w:w="0" w:type="dxa"/>
            <w:bottom w:w="0" w:type="dxa"/>
          </w:tblCellMar>
        </w:tblPrEx>
        <w:trPr>
          <w:trHeight w:val="200"/>
        </w:trPr>
        <w:tc>
          <w:tcPr>
            <w:tcW w:w="5000" w:type="dxa"/>
            <w:gridSpan w:val="2"/>
            <w:vMerge/>
            <w:tcBorders>
              <w:top w:val="nil"/>
              <w:bottom w:val="single" w:sz="6" w:space="0" w:color="auto"/>
              <w:right w:val="single" w:sz="6" w:space="0" w:color="auto"/>
            </w:tcBorders>
            <w:vAlign w:val="center"/>
          </w:tcPr>
          <w:p w14:paraId="0B9299E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500" w:type="dxa"/>
            <w:tcBorders>
              <w:top w:val="single" w:sz="6" w:space="0" w:color="auto"/>
              <w:left w:val="single" w:sz="6" w:space="0" w:color="auto"/>
              <w:bottom w:val="single" w:sz="6" w:space="0" w:color="auto"/>
              <w:right w:val="single" w:sz="6" w:space="0" w:color="auto"/>
            </w:tcBorders>
            <w:vAlign w:val="center"/>
          </w:tcPr>
          <w:p w14:paraId="122799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простими акціями</w:t>
            </w:r>
          </w:p>
        </w:tc>
        <w:tc>
          <w:tcPr>
            <w:tcW w:w="2500" w:type="dxa"/>
            <w:tcBorders>
              <w:top w:val="single" w:sz="6" w:space="0" w:color="auto"/>
              <w:left w:val="single" w:sz="6" w:space="0" w:color="auto"/>
              <w:bottom w:val="single" w:sz="6" w:space="0" w:color="auto"/>
            </w:tcBorders>
            <w:vAlign w:val="center"/>
          </w:tcPr>
          <w:p w14:paraId="14378D4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привілейованими акціями</w:t>
            </w:r>
          </w:p>
        </w:tc>
      </w:tr>
      <w:tr w:rsidR="00000000" w14:paraId="4F0494CD"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00A26830"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Сума нарахованих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14:paraId="7183B60D"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9 790 000</w:t>
            </w:r>
          </w:p>
        </w:tc>
        <w:tc>
          <w:tcPr>
            <w:tcW w:w="2500" w:type="dxa"/>
            <w:tcBorders>
              <w:top w:val="single" w:sz="6" w:space="0" w:color="auto"/>
              <w:left w:val="single" w:sz="6" w:space="0" w:color="auto"/>
              <w:bottom w:val="single" w:sz="6" w:space="0" w:color="auto"/>
            </w:tcBorders>
          </w:tcPr>
          <w:p w14:paraId="64EC0EE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0670CA3"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7DCD50FD"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Нараховані дивіденди на одну акцію, грн.</w:t>
            </w:r>
          </w:p>
        </w:tc>
        <w:tc>
          <w:tcPr>
            <w:tcW w:w="2500" w:type="dxa"/>
            <w:tcBorders>
              <w:top w:val="single" w:sz="6" w:space="0" w:color="auto"/>
              <w:left w:val="single" w:sz="6" w:space="0" w:color="auto"/>
              <w:bottom w:val="single" w:sz="6" w:space="0" w:color="auto"/>
              <w:right w:val="single" w:sz="6" w:space="0" w:color="auto"/>
            </w:tcBorders>
          </w:tcPr>
          <w:p w14:paraId="48A8F5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2,86</w:t>
            </w:r>
          </w:p>
        </w:tc>
        <w:tc>
          <w:tcPr>
            <w:tcW w:w="2500" w:type="dxa"/>
            <w:tcBorders>
              <w:top w:val="single" w:sz="6" w:space="0" w:color="auto"/>
              <w:left w:val="single" w:sz="6" w:space="0" w:color="auto"/>
              <w:bottom w:val="single" w:sz="6" w:space="0" w:color="auto"/>
            </w:tcBorders>
          </w:tcPr>
          <w:p w14:paraId="14EF038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8783F55"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7C5CA4B3"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Сума виплачених/перерахованих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14:paraId="09275EE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9 790 000</w:t>
            </w:r>
          </w:p>
        </w:tc>
        <w:tc>
          <w:tcPr>
            <w:tcW w:w="2500" w:type="dxa"/>
            <w:tcBorders>
              <w:top w:val="single" w:sz="6" w:space="0" w:color="auto"/>
              <w:left w:val="single" w:sz="6" w:space="0" w:color="auto"/>
              <w:bottom w:val="single" w:sz="6" w:space="0" w:color="auto"/>
            </w:tcBorders>
          </w:tcPr>
          <w:p w14:paraId="4671027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A7A25C1"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3822913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14:paraId="212AF0F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27.10.2023</w:t>
            </w:r>
          </w:p>
        </w:tc>
        <w:tc>
          <w:tcPr>
            <w:tcW w:w="2500" w:type="dxa"/>
            <w:tcBorders>
              <w:top w:val="single" w:sz="6" w:space="0" w:color="auto"/>
              <w:left w:val="single" w:sz="6" w:space="0" w:color="auto"/>
              <w:bottom w:val="single" w:sz="6" w:space="0" w:color="auto"/>
            </w:tcBorders>
          </w:tcPr>
          <w:p w14:paraId="076BB7E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8A2CB81"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4B072FF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14:paraId="6DC8AC56"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06.11.2023</w:t>
            </w:r>
          </w:p>
        </w:tc>
        <w:tc>
          <w:tcPr>
            <w:tcW w:w="2500" w:type="dxa"/>
            <w:tcBorders>
              <w:top w:val="single" w:sz="6" w:space="0" w:color="auto"/>
              <w:left w:val="single" w:sz="6" w:space="0" w:color="auto"/>
              <w:bottom w:val="single" w:sz="6" w:space="0" w:color="auto"/>
            </w:tcBorders>
          </w:tcPr>
          <w:p w14:paraId="46885E9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157FD5A"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18661A96"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Спосіб виплати дивідендів</w:t>
            </w:r>
          </w:p>
        </w:tc>
        <w:tc>
          <w:tcPr>
            <w:tcW w:w="2500" w:type="dxa"/>
            <w:tcBorders>
              <w:top w:val="single" w:sz="6" w:space="0" w:color="auto"/>
              <w:left w:val="single" w:sz="6" w:space="0" w:color="auto"/>
              <w:bottom w:val="single" w:sz="6" w:space="0" w:color="auto"/>
              <w:right w:val="single" w:sz="6" w:space="0" w:color="auto"/>
            </w:tcBorders>
          </w:tcPr>
          <w:p w14:paraId="2016B6C0"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500" w:type="dxa"/>
            <w:tcBorders>
              <w:top w:val="single" w:sz="6" w:space="0" w:color="auto"/>
              <w:left w:val="single" w:sz="6" w:space="0" w:color="auto"/>
              <w:bottom w:val="single" w:sz="6" w:space="0" w:color="auto"/>
            </w:tcBorders>
          </w:tcPr>
          <w:p w14:paraId="226D977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6C781EF"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079F591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(дати) перерахування дивідендів через депозитарну систему із зазначенням сум (грн) перерахованих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14:paraId="0729705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звітного періоду: </w:t>
            </w:r>
          </w:p>
          <w:p w14:paraId="5BC7A12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попереднього періоду: </w:t>
            </w:r>
          </w:p>
        </w:tc>
        <w:tc>
          <w:tcPr>
            <w:tcW w:w="2500" w:type="dxa"/>
            <w:tcBorders>
              <w:top w:val="single" w:sz="6" w:space="0" w:color="auto"/>
              <w:left w:val="single" w:sz="6" w:space="0" w:color="auto"/>
              <w:bottom w:val="single" w:sz="6" w:space="0" w:color="auto"/>
            </w:tcBorders>
          </w:tcPr>
          <w:p w14:paraId="147E566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звітного періоду: </w:t>
            </w:r>
          </w:p>
          <w:p w14:paraId="4DC62D5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попереднього періоду: </w:t>
            </w:r>
          </w:p>
        </w:tc>
      </w:tr>
      <w:tr w:rsidR="00000000" w14:paraId="70EE7E8A" w14:textId="77777777">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14:paraId="6ED0814B"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(дати) перерахування/ відправлення дивідендів безпосередньо акціонерам із зазначенням сум (грн) перерахованих/відправлених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14:paraId="4FFD016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звітного періоду: </w:t>
            </w:r>
          </w:p>
          <w:p w14:paraId="382C6AB8"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результатами попереднього періоду: 30.11.2023, 9 790 000</w:t>
            </w:r>
          </w:p>
        </w:tc>
        <w:tc>
          <w:tcPr>
            <w:tcW w:w="2500" w:type="dxa"/>
            <w:tcBorders>
              <w:top w:val="single" w:sz="6" w:space="0" w:color="auto"/>
              <w:left w:val="single" w:sz="6" w:space="0" w:color="auto"/>
              <w:bottom w:val="single" w:sz="6" w:space="0" w:color="auto"/>
            </w:tcBorders>
          </w:tcPr>
          <w:p w14:paraId="1B06F08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звітного періоду: </w:t>
            </w:r>
          </w:p>
          <w:p w14:paraId="74475E0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результатами попереднього періоду: </w:t>
            </w:r>
          </w:p>
        </w:tc>
      </w:tr>
      <w:tr w:rsidR="00000000" w14:paraId="128DAD55"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0879723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8000" w:type="dxa"/>
            <w:gridSpan w:val="3"/>
            <w:tcBorders>
              <w:top w:val="single" w:sz="6" w:space="0" w:color="auto"/>
              <w:left w:val="single" w:sz="6" w:space="0" w:color="auto"/>
              <w:bottom w:val="single" w:sz="6" w:space="0" w:color="auto"/>
            </w:tcBorders>
          </w:tcPr>
          <w:p w14:paraId="36205C9C" w14:textId="77777777" w:rsidR="009159E6" w:rsidRDefault="009159E6">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Виплата дивiдендiв акцiонерам за рахунок частини прибутку, отриманого Товариством за 2013 рiк, у розмiрi 9 790 000,00 грн. здiйснити шляхом виплати дивiдендiв у повному обсязi пропорцiйно та одночасно всiм особам, що мають право на отримання дивiдендiв, протягом встановлених дат виплат</w:t>
            </w:r>
          </w:p>
        </w:tc>
      </w:tr>
    </w:tbl>
    <w:p w14:paraId="603F557E"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78BFA4C7"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6B21569C"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5. Перелік посилань на внутрішні документи особи, що розміщені на вебсайті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000000" w14:paraId="7F6345DF"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7904834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3D2DF8B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27AB52E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7299551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особи, за якою розміщено внутрішній документ</w:t>
            </w:r>
          </w:p>
        </w:tc>
      </w:tr>
      <w:tr w:rsidR="00000000" w14:paraId="40B8B365"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1E7C847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29F24D8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4F940EE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100" w:type="dxa"/>
            <w:tcBorders>
              <w:top w:val="single" w:sz="6" w:space="0" w:color="auto"/>
              <w:left w:val="single" w:sz="6" w:space="0" w:color="auto"/>
              <w:bottom w:val="single" w:sz="6" w:space="0" w:color="auto"/>
            </w:tcBorders>
            <w:vAlign w:val="center"/>
          </w:tcPr>
          <w:p w14:paraId="7E0C80DE"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4755145D"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08C6EF2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52D16D4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 ПРАТ МОНДЕЛIС УКРАЇНА ВIД 12.09.2025</w:t>
            </w:r>
          </w:p>
        </w:tc>
        <w:tc>
          <w:tcPr>
            <w:tcW w:w="3200" w:type="dxa"/>
            <w:tcBorders>
              <w:top w:val="single" w:sz="6" w:space="0" w:color="auto"/>
              <w:left w:val="single" w:sz="6" w:space="0" w:color="auto"/>
              <w:bottom w:val="single" w:sz="6" w:space="0" w:color="auto"/>
              <w:right w:val="single" w:sz="6" w:space="0" w:color="auto"/>
            </w:tcBorders>
            <w:vAlign w:val="center"/>
          </w:tcPr>
          <w:p w14:paraId="47593865"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 визначає правовi, соцiальноекономiчнi та органiзацiйнi засади створення, дiяльностi та припинення Товариства, а також права i обов'язки його акцiонерiв.</w:t>
            </w:r>
          </w:p>
        </w:tc>
        <w:tc>
          <w:tcPr>
            <w:tcW w:w="3100" w:type="dxa"/>
            <w:tcBorders>
              <w:top w:val="single" w:sz="6" w:space="0" w:color="auto"/>
              <w:left w:val="single" w:sz="6" w:space="0" w:color="auto"/>
              <w:bottom w:val="single" w:sz="6" w:space="0" w:color="auto"/>
            </w:tcBorders>
            <w:vAlign w:val="center"/>
          </w:tcPr>
          <w:p w14:paraId="44D5561B"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https://www.mondelezinternational.com/assets/Country/Ukraine/Doc-files/2025/ukraine-2025.pdf</w:t>
            </w:r>
          </w:p>
        </w:tc>
      </w:tr>
      <w:tr w:rsidR="00000000" w14:paraId="1CB28CC6"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25FB035C"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29BCB684"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ЗАГАЛЬНI ЗБОРИ АКЦIОНЕРIВ ПРАТ МОНДЕЛIС УКРАЇНА ВIД 08.02.2024</w:t>
            </w:r>
          </w:p>
        </w:tc>
        <w:tc>
          <w:tcPr>
            <w:tcW w:w="3200" w:type="dxa"/>
            <w:tcBorders>
              <w:top w:val="single" w:sz="6" w:space="0" w:color="auto"/>
              <w:left w:val="single" w:sz="6" w:space="0" w:color="auto"/>
              <w:bottom w:val="single" w:sz="6" w:space="0" w:color="auto"/>
              <w:right w:val="single" w:sz="6" w:space="0" w:color="auto"/>
            </w:tcBorders>
            <w:vAlign w:val="center"/>
          </w:tcPr>
          <w:p w14:paraId="47B2B47A"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визначає правовий статус та компетенцiю загальних зборiв акцiонерiв, як вищого органу Товариства, а також порядок прийняття ними рiшень.</w:t>
            </w:r>
          </w:p>
        </w:tc>
        <w:tc>
          <w:tcPr>
            <w:tcW w:w="3100" w:type="dxa"/>
            <w:tcBorders>
              <w:top w:val="single" w:sz="6" w:space="0" w:color="auto"/>
              <w:left w:val="single" w:sz="6" w:space="0" w:color="auto"/>
              <w:bottom w:val="single" w:sz="6" w:space="0" w:color="auto"/>
            </w:tcBorders>
            <w:vAlign w:val="center"/>
          </w:tcPr>
          <w:p w14:paraId="2DC293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https://www.mondelezinternational.com/assets/Country/Ukraine/Doc-files/2024/ukraine-2024.pdf</w:t>
            </w:r>
          </w:p>
        </w:tc>
      </w:tr>
      <w:tr w:rsidR="00000000" w14:paraId="070A8EAC"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08CF43F3"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200" w:type="dxa"/>
            <w:tcBorders>
              <w:top w:val="single" w:sz="6" w:space="0" w:color="auto"/>
              <w:left w:val="single" w:sz="6" w:space="0" w:color="auto"/>
              <w:bottom w:val="single" w:sz="6" w:space="0" w:color="auto"/>
              <w:right w:val="single" w:sz="6" w:space="0" w:color="auto"/>
            </w:tcBorders>
            <w:vAlign w:val="center"/>
          </w:tcPr>
          <w:p w14:paraId="126E87B7"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Генерального директора вiд 10.06.2019</w:t>
            </w:r>
          </w:p>
        </w:tc>
        <w:tc>
          <w:tcPr>
            <w:tcW w:w="3200" w:type="dxa"/>
            <w:tcBorders>
              <w:top w:val="single" w:sz="6" w:space="0" w:color="auto"/>
              <w:left w:val="single" w:sz="6" w:space="0" w:color="auto"/>
              <w:bottom w:val="single" w:sz="6" w:space="0" w:color="auto"/>
              <w:right w:val="single" w:sz="6" w:space="0" w:color="auto"/>
            </w:tcBorders>
            <w:vAlign w:val="center"/>
          </w:tcPr>
          <w:p w14:paraId="35592111"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Положення визначає правовий статус, компетенцiю, строк повноважень, порядок обрання, органiзацiю роботи, а також права, обов'язки та вiдповiдальнiсть генеральногодиректора ПРИВАТНОГО АКЦIОНЕРНОГО </w:t>
            </w:r>
            <w:r>
              <w:rPr>
                <w:rFonts w:ascii="Times New Roman CYR" w:hAnsi="Times New Roman CYR" w:cs="Times New Roman CYR"/>
                <w:kern w:val="0"/>
                <w:sz w:val="22"/>
                <w:szCs w:val="22"/>
              </w:rPr>
              <w:lastRenderedPageBreak/>
              <w:t>ТОВАРИСТВА "МОНДЕЛIС УКРАЇНА".</w:t>
            </w:r>
          </w:p>
        </w:tc>
        <w:tc>
          <w:tcPr>
            <w:tcW w:w="3100" w:type="dxa"/>
            <w:tcBorders>
              <w:top w:val="single" w:sz="6" w:space="0" w:color="auto"/>
              <w:left w:val="single" w:sz="6" w:space="0" w:color="auto"/>
              <w:bottom w:val="single" w:sz="6" w:space="0" w:color="auto"/>
            </w:tcBorders>
            <w:vAlign w:val="center"/>
          </w:tcPr>
          <w:p w14:paraId="37565BBF" w14:textId="77777777" w:rsidR="009159E6" w:rsidRDefault="009159E6">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https://www.mondelezinternational.com/assets/Country/Ukraine/Doc-files/2019/general.pdf</w:t>
            </w:r>
          </w:p>
        </w:tc>
      </w:tr>
    </w:tbl>
    <w:p w14:paraId="3B101F9F"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p w14:paraId="7499E702" w14:textId="77777777" w:rsidR="009159E6" w:rsidRDefault="009159E6">
      <w:pPr>
        <w:widowControl w:val="0"/>
        <w:autoSpaceDE w:val="0"/>
        <w:autoSpaceDN w:val="0"/>
        <w:adjustRightInd w:val="0"/>
        <w:spacing w:after="0" w:line="240" w:lineRule="auto"/>
        <w:rPr>
          <w:rFonts w:ascii="Times New Roman CYR" w:hAnsi="Times New Roman CYR" w:cs="Times New Roman CYR"/>
          <w:kern w:val="0"/>
          <w:sz w:val="22"/>
          <w:szCs w:val="22"/>
        </w:rPr>
      </w:pPr>
    </w:p>
    <w:sectPr w:rsidR="009159E6">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355"/>
    <w:rsid w:val="00246355"/>
    <w:rsid w:val="007A48B8"/>
    <w:rsid w:val="009159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30D720"/>
  <w14:defaultImageDpi w14:val="0"/>
  <w15:docId w15:val="{EBBFD7E4-28BE-49CC-B329-70085238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11497</Words>
  <Characters>74734</Characters>
  <Application>Microsoft Office Word</Application>
  <DocSecurity>0</DocSecurity>
  <Lines>2019</Lines>
  <Paragraphs>2103</Paragraphs>
  <ScaleCrop>false</ScaleCrop>
  <Company/>
  <LinksUpToDate>false</LinksUpToDate>
  <CharactersWithSpaces>84128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Кисіль Наталія Миколаївна</dc:creator>
  <cp:keywords/>
  <dc:description/>
  <cp:lastModifiedBy>Кисіль Наталія Миколаївна</cp:lastModifiedBy>
  <cp:revision>2</cp:revision>
  <dcterms:created xsi:type="dcterms:W3CDTF">2026-05-12T14:58:00Z</dcterms:created>
  <dcterms:modified xsi:type="dcterms:W3CDTF">2026-05-12T14:58:00Z</dcterms:modified>
</cp:coreProperties>
</file>